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838" w:rsidRDefault="00847838" w:rsidP="00847838"/>
    <w:p w:rsidR="00847838" w:rsidRDefault="00847838" w:rsidP="00847838">
      <w:r w:rsidRPr="009B0423">
        <w:rPr>
          <w:noProof/>
          <w:lang w:eastAsia="fr-FR"/>
        </w:rPr>
        <w:drawing>
          <wp:inline distT="0" distB="0" distL="0" distR="0" wp14:anchorId="115A6B31" wp14:editId="54CEFF7B">
            <wp:extent cx="5760720" cy="895275"/>
            <wp:effectExtent l="0" t="0" r="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895275"/>
                    </a:xfrm>
                    <a:prstGeom prst="rect">
                      <a:avLst/>
                    </a:prstGeom>
                    <a:noFill/>
                  </pic:spPr>
                </pic:pic>
              </a:graphicData>
            </a:graphic>
          </wp:inline>
        </w:drawing>
      </w:r>
    </w:p>
    <w:p w:rsidR="00847838" w:rsidRDefault="00847838" w:rsidP="00847838"/>
    <w:p w:rsidR="00847838" w:rsidRDefault="00847838" w:rsidP="00847838"/>
    <w:p w:rsidR="00847838" w:rsidRDefault="00847838" w:rsidP="00847838"/>
    <w:p w:rsidR="00847838" w:rsidRDefault="00847838" w:rsidP="00847838"/>
    <w:p w:rsidR="00847838" w:rsidRDefault="00847838" w:rsidP="00847838"/>
    <w:tbl>
      <w:tblPr>
        <w:tblStyle w:val="Grilledutableau"/>
        <w:tblW w:w="0" w:type="auto"/>
        <w:jc w:val="center"/>
        <w:tblLook w:val="04A0" w:firstRow="1" w:lastRow="0" w:firstColumn="1" w:lastColumn="0" w:noHBand="0" w:noVBand="1"/>
      </w:tblPr>
      <w:tblGrid>
        <w:gridCol w:w="9062"/>
      </w:tblGrid>
      <w:tr w:rsidR="00847838" w:rsidTr="00AB497E">
        <w:trPr>
          <w:jc w:val="center"/>
        </w:trPr>
        <w:tc>
          <w:tcPr>
            <w:tcW w:w="9062" w:type="dxa"/>
          </w:tcPr>
          <w:p w:rsidR="00847838" w:rsidRPr="00B44AB5" w:rsidRDefault="00847838" w:rsidP="00AC4C6E">
            <w:pPr>
              <w:spacing w:before="240" w:after="240"/>
              <w:jc w:val="center"/>
              <w:rPr>
                <w:b/>
                <w:sz w:val="44"/>
                <w:szCs w:val="44"/>
              </w:rPr>
            </w:pPr>
            <w:r w:rsidRPr="00B44AB5">
              <w:rPr>
                <w:b/>
                <w:sz w:val="44"/>
                <w:szCs w:val="44"/>
              </w:rPr>
              <w:t>Lieu</w:t>
            </w:r>
          </w:p>
        </w:tc>
      </w:tr>
      <w:tr w:rsidR="00847838" w:rsidTr="00AB497E">
        <w:trPr>
          <w:jc w:val="center"/>
        </w:trPr>
        <w:tc>
          <w:tcPr>
            <w:tcW w:w="9062" w:type="dxa"/>
          </w:tcPr>
          <w:p w:rsidR="00847838" w:rsidRPr="00B44AB5" w:rsidRDefault="00847838" w:rsidP="00AC4C6E">
            <w:pPr>
              <w:spacing w:before="240" w:after="240"/>
              <w:jc w:val="center"/>
              <w:rPr>
                <w:b/>
                <w:sz w:val="44"/>
                <w:szCs w:val="44"/>
                <w:u w:val="single"/>
              </w:rPr>
            </w:pPr>
            <w:r w:rsidRPr="00B44AB5">
              <w:rPr>
                <w:b/>
                <w:sz w:val="44"/>
                <w:szCs w:val="44"/>
                <w:u w:val="single"/>
              </w:rPr>
              <w:t>Objet du marché :</w:t>
            </w:r>
          </w:p>
          <w:p w:rsidR="00847838" w:rsidRPr="00B44AB5" w:rsidRDefault="00847838" w:rsidP="00AC4C6E">
            <w:pPr>
              <w:spacing w:before="240" w:after="240"/>
              <w:jc w:val="center"/>
              <w:rPr>
                <w:b/>
                <w:sz w:val="44"/>
                <w:szCs w:val="44"/>
              </w:rPr>
            </w:pPr>
            <w:r w:rsidRPr="00B44AB5">
              <w:rPr>
                <w:b/>
                <w:sz w:val="44"/>
                <w:szCs w:val="44"/>
              </w:rPr>
              <w:t>Marché d’exploitation et de maintenance multi techniques</w:t>
            </w:r>
          </w:p>
        </w:tc>
      </w:tr>
      <w:tr w:rsidR="00847838" w:rsidTr="00AB497E">
        <w:trPr>
          <w:jc w:val="center"/>
        </w:trPr>
        <w:tc>
          <w:tcPr>
            <w:tcW w:w="9062" w:type="dxa"/>
          </w:tcPr>
          <w:p w:rsidR="00847838" w:rsidRPr="00B44AB5" w:rsidRDefault="00847838" w:rsidP="00AC4C6E">
            <w:pPr>
              <w:spacing w:before="240" w:after="240"/>
              <w:jc w:val="center"/>
              <w:rPr>
                <w:b/>
                <w:sz w:val="40"/>
                <w:szCs w:val="40"/>
              </w:rPr>
            </w:pPr>
            <w:r w:rsidRPr="00B44AB5">
              <w:rPr>
                <w:b/>
                <w:sz w:val="40"/>
                <w:szCs w:val="40"/>
              </w:rPr>
              <w:t>Cahier des Clauses Techniques Particulières</w:t>
            </w:r>
          </w:p>
        </w:tc>
      </w:tr>
      <w:tr w:rsidR="00847838" w:rsidRPr="00A821FE" w:rsidTr="00AB497E">
        <w:trPr>
          <w:jc w:val="center"/>
        </w:trPr>
        <w:tc>
          <w:tcPr>
            <w:tcW w:w="9062" w:type="dxa"/>
          </w:tcPr>
          <w:p w:rsidR="00847838" w:rsidRPr="00A821FE" w:rsidRDefault="00847838" w:rsidP="00AC4C6E">
            <w:pPr>
              <w:pStyle w:val="Titre1"/>
              <w:outlineLvl w:val="0"/>
              <w:rPr>
                <w:color w:val="000000" w:themeColor="text1"/>
                <w:sz w:val="36"/>
                <w:szCs w:val="36"/>
              </w:rPr>
            </w:pPr>
            <w:bookmarkStart w:id="0" w:name="_Toc161318617"/>
            <w:bookmarkStart w:id="1" w:name="_Toc161318764"/>
            <w:bookmarkStart w:id="2" w:name="_Toc161320689"/>
            <w:bookmarkStart w:id="3" w:name="_Toc191052297"/>
            <w:r w:rsidRPr="00A821FE">
              <w:rPr>
                <w:sz w:val="36"/>
                <w:szCs w:val="36"/>
              </w:rPr>
              <w:t>Section technique 04</w:t>
            </w:r>
            <w:r w:rsidR="00457D1C">
              <w:rPr>
                <w:sz w:val="36"/>
                <w:szCs w:val="36"/>
              </w:rPr>
              <w:t>.2</w:t>
            </w:r>
            <w:r w:rsidRPr="00A821FE">
              <w:rPr>
                <w:sz w:val="36"/>
                <w:szCs w:val="36"/>
              </w:rPr>
              <w:t xml:space="preserve"> – </w:t>
            </w:r>
            <w:bookmarkEnd w:id="0"/>
            <w:bookmarkEnd w:id="1"/>
            <w:bookmarkEnd w:id="2"/>
            <w:bookmarkEnd w:id="3"/>
            <w:r w:rsidR="009231C7" w:rsidRPr="00A821FE">
              <w:rPr>
                <w:sz w:val="36"/>
                <w:szCs w:val="36"/>
              </w:rPr>
              <w:t>RIA</w:t>
            </w:r>
            <w:r w:rsidR="00A821FE" w:rsidRPr="00A821FE">
              <w:rPr>
                <w:sz w:val="36"/>
                <w:szCs w:val="36"/>
              </w:rPr>
              <w:t>-RIDEAU D’EAU DE PLUIE- COLONNE SECHE-SURPERSSEUR</w:t>
            </w:r>
          </w:p>
        </w:tc>
      </w:tr>
    </w:tbl>
    <w:p w:rsidR="00847838" w:rsidRPr="00A821FE" w:rsidRDefault="00847838" w:rsidP="00847838">
      <w:pPr>
        <w:rPr>
          <w:sz w:val="36"/>
          <w:szCs w:val="36"/>
        </w:rPr>
      </w:pPr>
    </w:p>
    <w:p w:rsidR="00847838" w:rsidRDefault="00847838" w:rsidP="00847838"/>
    <w:p w:rsidR="00847838" w:rsidRDefault="00847838" w:rsidP="00847838">
      <w:pPr>
        <w:rPr>
          <w:rFonts w:cstheme="minorHAnsi"/>
        </w:rPr>
      </w:pPr>
      <w:r>
        <w:br w:type="page"/>
      </w:r>
    </w:p>
    <w:p w:rsidR="00847838" w:rsidRPr="00CB7AB0" w:rsidRDefault="00847838" w:rsidP="00847838">
      <w:pPr>
        <w:pStyle w:val="Titre2"/>
      </w:pPr>
      <w:bookmarkStart w:id="4" w:name="_Toc161318618"/>
      <w:bookmarkStart w:id="5" w:name="_Toc161318765"/>
      <w:bookmarkStart w:id="6" w:name="_Toc161320690"/>
      <w:bookmarkStart w:id="7" w:name="_Toc191052298"/>
      <w:r w:rsidRPr="00CB7AB0">
        <w:lastRenderedPageBreak/>
        <w:t>ARTICLE 1. OBJET</w:t>
      </w:r>
      <w:r>
        <w:t xml:space="preserve"> DU</w:t>
      </w:r>
      <w:r w:rsidRPr="00CB7AB0">
        <w:t xml:space="preserve"> </w:t>
      </w:r>
      <w:r>
        <w:t>CHAPITRE 4 DU CCTP</w:t>
      </w:r>
      <w:bookmarkEnd w:id="4"/>
      <w:bookmarkEnd w:id="5"/>
      <w:bookmarkEnd w:id="6"/>
      <w:bookmarkEnd w:id="7"/>
    </w:p>
    <w:p w:rsidR="00847838" w:rsidRDefault="005C4263" w:rsidP="00847838">
      <w:r w:rsidRPr="005216E8">
        <w:rPr>
          <w:szCs w:val="24"/>
        </w:rPr>
        <w:t>Le présent C.C.T.P. a pour objet de définir les prestations d’essais fonctionnels, de contrôle, de maintenance préventive</w:t>
      </w:r>
      <w:r>
        <w:rPr>
          <w:szCs w:val="24"/>
        </w:rPr>
        <w:t>, de dépannage</w:t>
      </w:r>
      <w:r w:rsidRPr="005216E8">
        <w:rPr>
          <w:szCs w:val="24"/>
        </w:rPr>
        <w:t xml:space="preserve"> et de maintenance corrective des installations </w:t>
      </w:r>
      <w:r>
        <w:rPr>
          <w:szCs w:val="24"/>
        </w:rPr>
        <w:t>de Robinets d’Incendie Armés (RIA)</w:t>
      </w:r>
      <w:r w:rsidRPr="005216E8">
        <w:rPr>
          <w:szCs w:val="24"/>
        </w:rPr>
        <w:t xml:space="preserve">, </w:t>
      </w:r>
      <w:r>
        <w:rPr>
          <w:szCs w:val="24"/>
        </w:rPr>
        <w:t xml:space="preserve">des rideaux d’eau, des installations d’arrosage en pluie et des colonnes sèches </w:t>
      </w:r>
      <w:r w:rsidRPr="005216E8">
        <w:rPr>
          <w:szCs w:val="24"/>
        </w:rPr>
        <w:t>du</w:t>
      </w:r>
      <w:r>
        <w:rPr>
          <w:szCs w:val="24"/>
        </w:rPr>
        <w:t xml:space="preserve"> ministère des Armées.</w:t>
      </w:r>
    </w:p>
    <w:p w:rsidR="00847838" w:rsidRPr="00CB7AB0" w:rsidRDefault="00847838" w:rsidP="00847838">
      <w:pPr>
        <w:pStyle w:val="Titre2"/>
      </w:pPr>
      <w:bookmarkStart w:id="8" w:name="_Toc191052299"/>
      <w:r w:rsidRPr="00CB7AB0">
        <w:t xml:space="preserve">ARTICLE </w:t>
      </w:r>
      <w:r>
        <w:t>2</w:t>
      </w:r>
      <w:r w:rsidRPr="00CB7AB0">
        <w:t xml:space="preserve">. </w:t>
      </w:r>
      <w:r>
        <w:t>GENERALITES</w:t>
      </w:r>
      <w:bookmarkEnd w:id="8"/>
    </w:p>
    <w:p w:rsidR="00847838" w:rsidRDefault="00847838" w:rsidP="00847838">
      <w:r>
        <w:t xml:space="preserve">Le périmètre géographique du marché est défini en </w:t>
      </w:r>
      <w:r w:rsidRPr="00DF6F5B">
        <w:rPr>
          <w:b/>
          <w:color w:val="4BACC6" w:themeColor="accent5"/>
          <w:u w:val="single"/>
          <w:lang w:eastAsia="fr-FR"/>
        </w:rPr>
        <w:t>ANNEXE 02</w:t>
      </w:r>
      <w:r>
        <w:t>.</w:t>
      </w:r>
      <w:r w:rsidR="00883CAF" w:rsidRPr="00883CAF">
        <w:rPr>
          <w:b/>
          <w:color w:val="4BACC6" w:themeColor="accent5"/>
        </w:rPr>
        <w:t xml:space="preserve"> </w:t>
      </w:r>
      <w:proofErr w:type="gramStart"/>
      <w:r w:rsidR="00883CAF">
        <w:rPr>
          <w:b/>
          <w:color w:val="4BACC6" w:themeColor="accent5"/>
        </w:rPr>
        <w:t>d</w:t>
      </w:r>
      <w:r w:rsidR="00883CAF" w:rsidRPr="007C00E1">
        <w:rPr>
          <w:b/>
          <w:color w:val="4BACC6" w:themeColor="accent5"/>
        </w:rPr>
        <w:t>u</w:t>
      </w:r>
      <w:proofErr w:type="gramEnd"/>
      <w:r w:rsidR="00883CAF" w:rsidRPr="007C00E1">
        <w:rPr>
          <w:b/>
          <w:color w:val="4BACC6" w:themeColor="accent5"/>
        </w:rPr>
        <w:t xml:space="preserve"> CCTP</w:t>
      </w:r>
      <w:r w:rsidR="00883CAF">
        <w:rPr>
          <w:b/>
          <w:color w:val="4BACC6" w:themeColor="accent5"/>
          <w:u w:val="single"/>
        </w:rPr>
        <w:t xml:space="preserve"> </w:t>
      </w:r>
      <w:r w:rsidR="00883CAF" w:rsidRPr="007C00E1">
        <w:rPr>
          <w:b/>
          <w:color w:val="4BACC6" w:themeColor="accent5"/>
        </w:rPr>
        <w:t>Dispositions générales et communes</w:t>
      </w:r>
      <w:r w:rsidR="00883CAF">
        <w:rPr>
          <w:b/>
          <w:color w:val="4BACC6" w:themeColor="accent5"/>
        </w:rPr>
        <w:t>.</w:t>
      </w:r>
      <w:bookmarkStart w:id="9" w:name="_GoBack"/>
      <w:bookmarkEnd w:id="9"/>
    </w:p>
    <w:p w:rsidR="00847838" w:rsidRDefault="00847838" w:rsidP="00847838"/>
    <w:p w:rsidR="00847838" w:rsidRPr="00CB7AB0" w:rsidRDefault="00847838" w:rsidP="00847838">
      <w:pPr>
        <w:pStyle w:val="Titre2"/>
      </w:pPr>
      <w:bookmarkStart w:id="10" w:name="_Toc191052300"/>
      <w:r w:rsidRPr="00CB7AB0">
        <w:t xml:space="preserve">ARTICLE </w:t>
      </w:r>
      <w:r>
        <w:t>3</w:t>
      </w:r>
      <w:r w:rsidRPr="00CB7AB0">
        <w:t xml:space="preserve">. </w:t>
      </w:r>
      <w:r>
        <w:t>TEXTES REGLEMENTAIRES</w:t>
      </w:r>
      <w:bookmarkEnd w:id="10"/>
    </w:p>
    <w:p w:rsidR="001F39F8" w:rsidRDefault="001F39F8" w:rsidP="001F39F8">
      <w:pPr>
        <w:pStyle w:val="Corpsdetexte"/>
        <w:jc w:val="left"/>
        <w:rPr>
          <w:rFonts w:ascii="Calibri" w:hAnsi="Calibri" w:cs="Arial"/>
          <w:sz w:val="22"/>
          <w:szCs w:val="22"/>
        </w:rPr>
      </w:pPr>
      <w:r w:rsidRPr="001F39F8">
        <w:rPr>
          <w:rFonts w:ascii="Calibri" w:hAnsi="Calibri" w:cs="Arial"/>
          <w:sz w:val="22"/>
          <w:szCs w:val="22"/>
        </w:rPr>
        <w:t>Le titulaire réalise les prestations conformément à la réglementation en vigueur et en particulier les textes suivants :</w:t>
      </w:r>
    </w:p>
    <w:p w:rsidR="001F39F8" w:rsidRDefault="001F39F8" w:rsidP="001F39F8">
      <w:pPr>
        <w:pStyle w:val="Corpsdetexte"/>
        <w:jc w:val="left"/>
        <w:rPr>
          <w:rFonts w:ascii="Calibri" w:hAnsi="Calibri" w:cs="Arial"/>
          <w:sz w:val="22"/>
          <w:szCs w:val="22"/>
        </w:rPr>
      </w:pPr>
    </w:p>
    <w:p w:rsidR="00EF249B" w:rsidRDefault="00EF249B" w:rsidP="00EF249B">
      <w:pPr>
        <w:pStyle w:val="Style1"/>
        <w:keepNext/>
        <w:keepLines/>
        <w:numPr>
          <w:ilvl w:val="1"/>
          <w:numId w:val="18"/>
        </w:numPr>
        <w:tabs>
          <w:tab w:val="left" w:pos="1418"/>
          <w:tab w:val="left" w:pos="1701"/>
        </w:tabs>
        <w:suppressAutoHyphens/>
        <w:outlineLvl w:val="1"/>
      </w:pPr>
      <w:bookmarkStart w:id="11" w:name="_Toc1572141"/>
      <w:r>
        <w:t>Pour les installations de Robinets d’Incendie Armés</w:t>
      </w:r>
      <w:bookmarkEnd w:id="11"/>
    </w:p>
    <w:p w:rsidR="00EF249B" w:rsidRPr="005216E8" w:rsidRDefault="00EF249B" w:rsidP="00EF249B">
      <w:pPr>
        <w:widowControl w:val="0"/>
        <w:numPr>
          <w:ilvl w:val="0"/>
          <w:numId w:val="16"/>
        </w:numPr>
        <w:tabs>
          <w:tab w:val="clear" w:pos="717"/>
          <w:tab w:val="left" w:pos="993"/>
        </w:tabs>
        <w:spacing w:after="60"/>
        <w:ind w:left="993" w:hanging="426"/>
        <w:rPr>
          <w:szCs w:val="24"/>
        </w:rPr>
      </w:pPr>
      <w:r w:rsidRPr="005216E8">
        <w:rPr>
          <w:szCs w:val="24"/>
        </w:rPr>
        <w:t>Normes</w:t>
      </w:r>
      <w:r>
        <w:rPr>
          <w:szCs w:val="24"/>
        </w:rPr>
        <w:t xml:space="preserve"> et réglementation en vigueur et principalement</w:t>
      </w:r>
      <w:r w:rsidRPr="005216E8">
        <w:rPr>
          <w:szCs w:val="24"/>
        </w:rPr>
        <w:t> :</w:t>
      </w:r>
    </w:p>
    <w:p w:rsidR="00EF249B" w:rsidRDefault="00EF249B" w:rsidP="00EF249B">
      <w:pPr>
        <w:widowControl w:val="0"/>
        <w:numPr>
          <w:ilvl w:val="1"/>
          <w:numId w:val="17"/>
        </w:numPr>
        <w:rPr>
          <w:szCs w:val="24"/>
        </w:rPr>
      </w:pPr>
      <w:r w:rsidRPr="005216E8">
        <w:rPr>
          <w:szCs w:val="24"/>
        </w:rPr>
        <w:t>Norme NF X60-000 relative à la maintenance industrielle ;</w:t>
      </w:r>
    </w:p>
    <w:p w:rsidR="00EF249B" w:rsidRPr="0097301E" w:rsidRDefault="00EF249B" w:rsidP="00EF249B">
      <w:pPr>
        <w:widowControl w:val="0"/>
        <w:numPr>
          <w:ilvl w:val="1"/>
          <w:numId w:val="17"/>
        </w:numPr>
        <w:rPr>
          <w:szCs w:val="24"/>
        </w:rPr>
      </w:pPr>
      <w:r w:rsidRPr="0097301E">
        <w:rPr>
          <w:szCs w:val="24"/>
        </w:rPr>
        <w:t>NF S 61-115 (NF EN 694)</w:t>
      </w:r>
      <w:r>
        <w:rPr>
          <w:szCs w:val="24"/>
        </w:rPr>
        <w:t xml:space="preserve"> - </w:t>
      </w:r>
      <w:r w:rsidRPr="0097301E">
        <w:rPr>
          <w:szCs w:val="24"/>
        </w:rPr>
        <w:t xml:space="preserve">Tuyaux de lutte contre l'incendie </w:t>
      </w:r>
      <w:r>
        <w:rPr>
          <w:szCs w:val="24"/>
        </w:rPr>
        <w:t xml:space="preserve">- </w:t>
      </w:r>
      <w:r w:rsidRPr="0097301E">
        <w:rPr>
          <w:szCs w:val="24"/>
        </w:rPr>
        <w:t>Tuyaux semi-rigides pour systèmes fixes</w:t>
      </w:r>
      <w:r>
        <w:rPr>
          <w:szCs w:val="24"/>
        </w:rPr>
        <w:t> ;</w:t>
      </w:r>
    </w:p>
    <w:p w:rsidR="00EF249B" w:rsidRDefault="00EF249B" w:rsidP="00EF249B">
      <w:pPr>
        <w:numPr>
          <w:ilvl w:val="1"/>
          <w:numId w:val="17"/>
        </w:numPr>
        <w:autoSpaceDE w:val="0"/>
        <w:autoSpaceDN w:val="0"/>
        <w:adjustRightInd w:val="0"/>
        <w:rPr>
          <w:szCs w:val="24"/>
        </w:rPr>
      </w:pPr>
      <w:r w:rsidRPr="008E44A0">
        <w:rPr>
          <w:szCs w:val="24"/>
        </w:rPr>
        <w:t>Norme NF S 61-201-1</w:t>
      </w:r>
      <w:r>
        <w:rPr>
          <w:szCs w:val="24"/>
        </w:rPr>
        <w:t xml:space="preserve"> Relative aux </w:t>
      </w:r>
      <w:r w:rsidRPr="008E44A0">
        <w:rPr>
          <w:szCs w:val="24"/>
        </w:rPr>
        <w:t>Installations fixes de lutte contre l'incendie</w:t>
      </w:r>
      <w:r>
        <w:rPr>
          <w:szCs w:val="24"/>
        </w:rPr>
        <w:t xml:space="preserve"> -</w:t>
      </w:r>
      <w:r w:rsidRPr="008E44A0">
        <w:rPr>
          <w:szCs w:val="24"/>
        </w:rPr>
        <w:t xml:space="preserve"> Systèmes équipés de tuyaux </w:t>
      </w:r>
      <w:r>
        <w:rPr>
          <w:szCs w:val="24"/>
        </w:rPr>
        <w:t xml:space="preserve">- </w:t>
      </w:r>
      <w:r w:rsidRPr="008E44A0">
        <w:rPr>
          <w:szCs w:val="24"/>
        </w:rPr>
        <w:t>Partie 1 : Robinets d'incendie armés équipés de tuyaux</w:t>
      </w:r>
      <w:r>
        <w:rPr>
          <w:szCs w:val="24"/>
        </w:rPr>
        <w:t xml:space="preserve"> </w:t>
      </w:r>
      <w:r w:rsidRPr="008E44A0">
        <w:rPr>
          <w:szCs w:val="24"/>
        </w:rPr>
        <w:t>semi-rigides</w:t>
      </w:r>
      <w:r>
        <w:rPr>
          <w:szCs w:val="24"/>
        </w:rPr>
        <w:t> ;</w:t>
      </w:r>
    </w:p>
    <w:p w:rsidR="00EF249B" w:rsidRDefault="00EF249B" w:rsidP="00EF249B">
      <w:pPr>
        <w:widowControl w:val="0"/>
        <w:numPr>
          <w:ilvl w:val="1"/>
          <w:numId w:val="17"/>
        </w:numPr>
        <w:rPr>
          <w:szCs w:val="24"/>
        </w:rPr>
      </w:pPr>
      <w:r w:rsidRPr="0097301E">
        <w:rPr>
          <w:szCs w:val="24"/>
        </w:rPr>
        <w:t>NF S 61-201-2(NF EN 671-2</w:t>
      </w:r>
      <w:r w:rsidR="0045617E" w:rsidRPr="0097301E">
        <w:rPr>
          <w:szCs w:val="24"/>
        </w:rPr>
        <w:t>) Relative</w:t>
      </w:r>
      <w:r>
        <w:rPr>
          <w:szCs w:val="24"/>
        </w:rPr>
        <w:t xml:space="preserve"> aux </w:t>
      </w:r>
      <w:r w:rsidRPr="008E44A0">
        <w:rPr>
          <w:szCs w:val="24"/>
        </w:rPr>
        <w:t>Installations fixes de lutte contre l'incendie</w:t>
      </w:r>
      <w:r>
        <w:rPr>
          <w:szCs w:val="24"/>
        </w:rPr>
        <w:t xml:space="preserve"> -</w:t>
      </w:r>
      <w:r w:rsidRPr="008E44A0">
        <w:rPr>
          <w:szCs w:val="24"/>
        </w:rPr>
        <w:t xml:space="preserve"> Systèmes équipés de tuyaux </w:t>
      </w:r>
      <w:r>
        <w:rPr>
          <w:szCs w:val="24"/>
        </w:rPr>
        <w:t xml:space="preserve">– Partie 2 : </w:t>
      </w:r>
      <w:r w:rsidRPr="0097301E">
        <w:rPr>
          <w:szCs w:val="24"/>
        </w:rPr>
        <w:t>Postes d'eau muraux équipés de tuyaux plats</w:t>
      </w:r>
      <w:r>
        <w:rPr>
          <w:szCs w:val="24"/>
        </w:rPr>
        <w:t> ;</w:t>
      </w:r>
    </w:p>
    <w:p w:rsidR="00EF249B" w:rsidRPr="00AB7FA3" w:rsidRDefault="00EF249B" w:rsidP="00EF249B">
      <w:pPr>
        <w:widowControl w:val="0"/>
        <w:numPr>
          <w:ilvl w:val="1"/>
          <w:numId w:val="17"/>
        </w:numPr>
        <w:rPr>
          <w:szCs w:val="24"/>
        </w:rPr>
      </w:pPr>
      <w:r w:rsidRPr="0097301E">
        <w:rPr>
          <w:szCs w:val="24"/>
        </w:rPr>
        <w:t xml:space="preserve">NF S 61-201-3(NF EN 671-3) </w:t>
      </w:r>
      <w:r>
        <w:rPr>
          <w:szCs w:val="24"/>
        </w:rPr>
        <w:t xml:space="preserve">Relative aux </w:t>
      </w:r>
      <w:r w:rsidRPr="008E44A0">
        <w:rPr>
          <w:szCs w:val="24"/>
        </w:rPr>
        <w:t>Installations fixes de lutte contre l'incendie</w:t>
      </w:r>
      <w:r>
        <w:rPr>
          <w:szCs w:val="24"/>
        </w:rPr>
        <w:t xml:space="preserve"> -</w:t>
      </w:r>
      <w:r w:rsidRPr="008E44A0">
        <w:rPr>
          <w:szCs w:val="24"/>
        </w:rPr>
        <w:t xml:space="preserve"> Systèmes équipés de tuyaux </w:t>
      </w:r>
      <w:r>
        <w:rPr>
          <w:szCs w:val="24"/>
        </w:rPr>
        <w:t xml:space="preserve">- </w:t>
      </w:r>
      <w:r w:rsidRPr="00AB7FA3">
        <w:rPr>
          <w:szCs w:val="24"/>
        </w:rPr>
        <w:t>Partie 3 : Maintenance des robinets d'incendie armés</w:t>
      </w:r>
      <w:r>
        <w:rPr>
          <w:szCs w:val="24"/>
        </w:rPr>
        <w:t xml:space="preserve"> </w:t>
      </w:r>
      <w:r w:rsidRPr="00AB7FA3">
        <w:rPr>
          <w:szCs w:val="24"/>
        </w:rPr>
        <w:t>équipés de tuyaux semi-rigides et des postes d'eau muraux</w:t>
      </w:r>
      <w:r>
        <w:rPr>
          <w:szCs w:val="24"/>
        </w:rPr>
        <w:t xml:space="preserve"> </w:t>
      </w:r>
      <w:r w:rsidRPr="00AB7FA3">
        <w:rPr>
          <w:szCs w:val="24"/>
        </w:rPr>
        <w:t>équipés de tuyaux plats</w:t>
      </w:r>
      <w:r>
        <w:rPr>
          <w:szCs w:val="24"/>
        </w:rPr>
        <w:t> ;</w:t>
      </w:r>
    </w:p>
    <w:p w:rsidR="00EF249B" w:rsidRDefault="00EF249B" w:rsidP="00EF249B">
      <w:pPr>
        <w:numPr>
          <w:ilvl w:val="1"/>
          <w:numId w:val="17"/>
        </w:numPr>
        <w:suppressAutoHyphens/>
        <w:rPr>
          <w:szCs w:val="24"/>
        </w:rPr>
      </w:pPr>
      <w:r>
        <w:rPr>
          <w:szCs w:val="24"/>
        </w:rPr>
        <w:t xml:space="preserve">Norme NF S 62-201 relative à la maintenance des </w:t>
      </w:r>
      <w:r w:rsidRPr="007210B1">
        <w:rPr>
          <w:szCs w:val="24"/>
        </w:rPr>
        <w:t>RIA équipés de tuyaux semi-rigides</w:t>
      </w:r>
      <w:r w:rsidRPr="005216E8">
        <w:rPr>
          <w:szCs w:val="24"/>
        </w:rPr>
        <w:t>;</w:t>
      </w:r>
    </w:p>
    <w:p w:rsidR="001F39F8" w:rsidRDefault="001F39F8" w:rsidP="00EF249B">
      <w:pPr>
        <w:pStyle w:val="Corpsdetexte"/>
        <w:jc w:val="left"/>
        <w:rPr>
          <w:rFonts w:ascii="Calibri" w:hAnsi="Calibri" w:cs="Arial"/>
          <w:sz w:val="22"/>
          <w:szCs w:val="22"/>
        </w:rPr>
      </w:pPr>
    </w:p>
    <w:p w:rsidR="00EF249B" w:rsidRPr="00BA5672" w:rsidRDefault="00EF249B" w:rsidP="00EF249B">
      <w:pPr>
        <w:pStyle w:val="Style1"/>
        <w:keepNext/>
        <w:keepLines/>
        <w:numPr>
          <w:ilvl w:val="1"/>
          <w:numId w:val="18"/>
        </w:numPr>
        <w:tabs>
          <w:tab w:val="left" w:pos="1418"/>
          <w:tab w:val="left" w:pos="1701"/>
        </w:tabs>
        <w:suppressAutoHyphens/>
        <w:outlineLvl w:val="1"/>
      </w:pPr>
      <w:bookmarkStart w:id="12" w:name="_Toc1572142"/>
      <w:r w:rsidRPr="00BA5672">
        <w:t xml:space="preserve">Pour </w:t>
      </w:r>
      <w:r>
        <w:t xml:space="preserve">les installations de </w:t>
      </w:r>
      <w:r w:rsidRPr="00BA5672">
        <w:t xml:space="preserve">colonnes </w:t>
      </w:r>
      <w:r>
        <w:t xml:space="preserve">sèches </w:t>
      </w:r>
      <w:r w:rsidRPr="00BA5672">
        <w:t>incendie</w:t>
      </w:r>
      <w:bookmarkEnd w:id="12"/>
    </w:p>
    <w:p w:rsidR="00EF249B" w:rsidRPr="00156AAC" w:rsidRDefault="00EF249B" w:rsidP="00EF249B">
      <w:pPr>
        <w:widowControl w:val="0"/>
        <w:numPr>
          <w:ilvl w:val="0"/>
          <w:numId w:val="16"/>
        </w:numPr>
        <w:tabs>
          <w:tab w:val="clear" w:pos="717"/>
          <w:tab w:val="left" w:pos="993"/>
        </w:tabs>
        <w:spacing w:after="60"/>
        <w:ind w:left="993" w:hanging="426"/>
        <w:rPr>
          <w:szCs w:val="24"/>
        </w:rPr>
      </w:pPr>
      <w:r w:rsidRPr="00156AAC">
        <w:rPr>
          <w:szCs w:val="24"/>
        </w:rPr>
        <w:t xml:space="preserve">Normes </w:t>
      </w:r>
      <w:r>
        <w:rPr>
          <w:szCs w:val="24"/>
        </w:rPr>
        <w:t xml:space="preserve">et réglementation </w:t>
      </w:r>
      <w:r w:rsidRPr="00156AAC">
        <w:rPr>
          <w:szCs w:val="24"/>
        </w:rPr>
        <w:t>en vigueur</w:t>
      </w:r>
      <w:r>
        <w:rPr>
          <w:szCs w:val="24"/>
        </w:rPr>
        <w:t xml:space="preserve">, en particulier </w:t>
      </w:r>
      <w:r w:rsidRPr="00156AAC">
        <w:rPr>
          <w:szCs w:val="24"/>
        </w:rPr>
        <w:t>:</w:t>
      </w:r>
    </w:p>
    <w:p w:rsidR="00EF249B" w:rsidRPr="00BA5672" w:rsidRDefault="00EF249B" w:rsidP="00EF249B">
      <w:pPr>
        <w:numPr>
          <w:ilvl w:val="1"/>
          <w:numId w:val="17"/>
        </w:numPr>
        <w:suppressAutoHyphens/>
        <w:rPr>
          <w:szCs w:val="24"/>
        </w:rPr>
      </w:pPr>
      <w:r>
        <w:rPr>
          <w:szCs w:val="24"/>
        </w:rPr>
        <w:t>Norme NF S 61-758</w:t>
      </w:r>
      <w:r w:rsidRPr="00BA5672">
        <w:rPr>
          <w:szCs w:val="24"/>
        </w:rPr>
        <w:t xml:space="preserve"> Matériel de lutte contre l'incendie — Robinetterie </w:t>
      </w:r>
      <w:r>
        <w:rPr>
          <w:szCs w:val="24"/>
        </w:rPr>
        <w:t>pour</w:t>
      </w:r>
      <w:r w:rsidRPr="00BA5672">
        <w:rPr>
          <w:szCs w:val="24"/>
        </w:rPr>
        <w:t xml:space="preserve"> colonnes sèches et en charge</w:t>
      </w:r>
      <w:r>
        <w:rPr>
          <w:szCs w:val="24"/>
        </w:rPr>
        <w:t> ;</w:t>
      </w:r>
    </w:p>
    <w:p w:rsidR="00EF249B" w:rsidRPr="00B92716" w:rsidRDefault="00EF249B" w:rsidP="00EF249B">
      <w:pPr>
        <w:numPr>
          <w:ilvl w:val="1"/>
          <w:numId w:val="17"/>
        </w:numPr>
        <w:autoSpaceDE w:val="0"/>
        <w:autoSpaceDN w:val="0"/>
        <w:adjustRightInd w:val="0"/>
        <w:rPr>
          <w:szCs w:val="24"/>
        </w:rPr>
      </w:pPr>
      <w:r w:rsidRPr="00B92716">
        <w:rPr>
          <w:szCs w:val="24"/>
        </w:rPr>
        <w:t xml:space="preserve">Norme NF S 61-759 relative aux </w:t>
      </w:r>
      <w:r>
        <w:rPr>
          <w:szCs w:val="24"/>
        </w:rPr>
        <w:t>matériels</w:t>
      </w:r>
      <w:r w:rsidRPr="00B92716">
        <w:rPr>
          <w:szCs w:val="24"/>
        </w:rPr>
        <w:t xml:space="preserve"> de lutte contre l'incendie </w:t>
      </w:r>
      <w:r>
        <w:rPr>
          <w:szCs w:val="24"/>
        </w:rPr>
        <w:t>– Colonnes d’incendie (sèches et en charge) – Installation et maintenance ;</w:t>
      </w:r>
    </w:p>
    <w:p w:rsidR="00EF249B" w:rsidRDefault="00EF249B" w:rsidP="00EF249B">
      <w:pPr>
        <w:pStyle w:val="Paragraphedeliste"/>
        <w:numPr>
          <w:ilvl w:val="1"/>
          <w:numId w:val="17"/>
        </w:numPr>
        <w:autoSpaceDE w:val="0"/>
        <w:autoSpaceDN w:val="0"/>
        <w:adjustRightInd w:val="0"/>
        <w:jc w:val="left"/>
        <w:rPr>
          <w:szCs w:val="24"/>
        </w:rPr>
      </w:pPr>
      <w:r>
        <w:rPr>
          <w:szCs w:val="24"/>
        </w:rPr>
        <w:t xml:space="preserve">Norme </w:t>
      </w:r>
      <w:r w:rsidRPr="00CD2DD2">
        <w:rPr>
          <w:szCs w:val="24"/>
        </w:rPr>
        <w:t>NF S 61-759</w:t>
      </w:r>
      <w:r>
        <w:rPr>
          <w:szCs w:val="24"/>
        </w:rPr>
        <w:t>/</w:t>
      </w:r>
      <w:r w:rsidRPr="00CD2DD2">
        <w:rPr>
          <w:szCs w:val="24"/>
        </w:rPr>
        <w:t>A1 </w:t>
      </w:r>
      <w:r>
        <w:rPr>
          <w:szCs w:val="24"/>
        </w:rPr>
        <w:t>qui amende la norme NF S 61-759 de juin 2007 ;</w:t>
      </w:r>
    </w:p>
    <w:p w:rsidR="00EF249B" w:rsidRPr="001F39F8" w:rsidRDefault="00EF249B" w:rsidP="00EF249B">
      <w:pPr>
        <w:pStyle w:val="Corpsdetexte"/>
        <w:jc w:val="left"/>
        <w:rPr>
          <w:rFonts w:ascii="Calibri" w:hAnsi="Calibri" w:cs="Arial"/>
          <w:sz w:val="22"/>
          <w:szCs w:val="22"/>
        </w:rPr>
      </w:pPr>
    </w:p>
    <w:p w:rsidR="00EF249B" w:rsidRPr="00B61DD1" w:rsidRDefault="00EF249B" w:rsidP="00EF249B">
      <w:pPr>
        <w:pStyle w:val="Style1"/>
        <w:keepNext/>
        <w:keepLines/>
        <w:numPr>
          <w:ilvl w:val="1"/>
          <w:numId w:val="18"/>
        </w:numPr>
        <w:tabs>
          <w:tab w:val="left" w:pos="1418"/>
          <w:tab w:val="left" w:pos="1701"/>
        </w:tabs>
        <w:suppressAutoHyphens/>
        <w:outlineLvl w:val="1"/>
      </w:pPr>
      <w:bookmarkStart w:id="13" w:name="_Toc1572143"/>
      <w:r w:rsidRPr="00B61DD1">
        <w:t xml:space="preserve">Pour les installations d’arrosage en pluie </w:t>
      </w:r>
      <w:r w:rsidR="00224290">
        <w:t xml:space="preserve">de type déluge </w:t>
      </w:r>
      <w:r w:rsidRPr="00B61DD1">
        <w:t xml:space="preserve">et </w:t>
      </w:r>
      <w:r w:rsidR="00224290">
        <w:t>du</w:t>
      </w:r>
      <w:r>
        <w:t xml:space="preserve"> </w:t>
      </w:r>
      <w:r w:rsidR="00224290">
        <w:t>rideau</w:t>
      </w:r>
      <w:r w:rsidRPr="00B61DD1">
        <w:t xml:space="preserve"> d’eau</w:t>
      </w:r>
      <w:bookmarkEnd w:id="13"/>
    </w:p>
    <w:p w:rsidR="00EF249B" w:rsidRPr="00156AAC" w:rsidRDefault="00EF249B" w:rsidP="00EF249B">
      <w:pPr>
        <w:widowControl w:val="0"/>
        <w:numPr>
          <w:ilvl w:val="0"/>
          <w:numId w:val="16"/>
        </w:numPr>
        <w:tabs>
          <w:tab w:val="clear" w:pos="717"/>
          <w:tab w:val="left" w:pos="993"/>
        </w:tabs>
        <w:spacing w:after="60"/>
        <w:ind w:left="993" w:hanging="426"/>
        <w:rPr>
          <w:szCs w:val="24"/>
        </w:rPr>
      </w:pPr>
      <w:r w:rsidRPr="00156AAC">
        <w:rPr>
          <w:szCs w:val="24"/>
        </w:rPr>
        <w:t>Normes en vigueur et principalement :</w:t>
      </w:r>
    </w:p>
    <w:p w:rsidR="00EF249B" w:rsidRPr="008E44A0" w:rsidRDefault="00EF249B" w:rsidP="00EF249B">
      <w:pPr>
        <w:numPr>
          <w:ilvl w:val="1"/>
          <w:numId w:val="17"/>
        </w:numPr>
        <w:suppressAutoHyphens/>
        <w:spacing w:after="0"/>
        <w:rPr>
          <w:szCs w:val="24"/>
        </w:rPr>
      </w:pPr>
      <w:r w:rsidRPr="008E44A0">
        <w:rPr>
          <w:szCs w:val="24"/>
        </w:rPr>
        <w:t xml:space="preserve">NF EN 12845 : Installations fixes de lutte contre l'incendie - Systèmes d'extinction automatiques du type sprinkler - Calcul, installation et maintenance </w:t>
      </w:r>
    </w:p>
    <w:p w:rsidR="00847838" w:rsidRDefault="00847838" w:rsidP="00847838"/>
    <w:p w:rsidR="00847838" w:rsidRPr="00CB7AB0" w:rsidRDefault="00847838" w:rsidP="00847838">
      <w:pPr>
        <w:pStyle w:val="Titre2"/>
      </w:pPr>
      <w:bookmarkStart w:id="14" w:name="_Toc191052301"/>
      <w:r w:rsidRPr="00CB7AB0">
        <w:t xml:space="preserve">ARTICLE </w:t>
      </w:r>
      <w:r>
        <w:t>4</w:t>
      </w:r>
      <w:r w:rsidRPr="00CB7AB0">
        <w:t xml:space="preserve">. </w:t>
      </w:r>
      <w:r>
        <w:t>MATERIELS CONCERNES</w:t>
      </w:r>
      <w:bookmarkEnd w:id="14"/>
    </w:p>
    <w:p w:rsidR="009231C7" w:rsidRDefault="003F78B5" w:rsidP="009231C7">
      <w:pPr>
        <w:pStyle w:val="Corpsdetexte"/>
        <w:jc w:val="left"/>
        <w:rPr>
          <w:rFonts w:ascii="Calibri" w:hAnsi="Calibri"/>
          <w:sz w:val="22"/>
          <w:szCs w:val="22"/>
        </w:rPr>
      </w:pPr>
      <w:r w:rsidRPr="003F78B5">
        <w:rPr>
          <w:rFonts w:ascii="Calibri" w:hAnsi="Calibri"/>
          <w:sz w:val="22"/>
          <w:szCs w:val="22"/>
        </w:rPr>
        <w:t>Les installations concernées sont les suivantes :</w:t>
      </w:r>
      <w:r w:rsidR="00AB497E">
        <w:rPr>
          <w:rFonts w:ascii="Calibri" w:hAnsi="Calibri"/>
          <w:sz w:val="22"/>
          <w:szCs w:val="22"/>
        </w:rPr>
        <w:t xml:space="preserve"> voir l’annexe CAT 04.2 RIA</w:t>
      </w:r>
    </w:p>
    <w:p w:rsidR="00847838" w:rsidRDefault="00847838" w:rsidP="009231C7">
      <w:pPr>
        <w:pStyle w:val="Corpsdetexte"/>
      </w:pPr>
    </w:p>
    <w:p w:rsidR="00847838" w:rsidRPr="00CB7AB0" w:rsidRDefault="00847838" w:rsidP="00847838">
      <w:pPr>
        <w:pStyle w:val="Titre2"/>
      </w:pPr>
      <w:bookmarkStart w:id="15" w:name="_Toc191052302"/>
      <w:r w:rsidRPr="00CB7AB0">
        <w:t xml:space="preserve">ARTICLE </w:t>
      </w:r>
      <w:r>
        <w:t>5</w:t>
      </w:r>
      <w:r w:rsidRPr="00CB7AB0">
        <w:t xml:space="preserve">. </w:t>
      </w:r>
      <w:r>
        <w:t>LIMITES DE PRESTATIONS</w:t>
      </w:r>
      <w:bookmarkEnd w:id="15"/>
    </w:p>
    <w:p w:rsidR="00EF249B" w:rsidRPr="005216E8" w:rsidRDefault="00EF249B" w:rsidP="00EF249B">
      <w:pPr>
        <w:pStyle w:val="Style1"/>
        <w:keepNext/>
        <w:keepLines/>
        <w:numPr>
          <w:ilvl w:val="0"/>
          <w:numId w:val="0"/>
        </w:numPr>
        <w:tabs>
          <w:tab w:val="left" w:pos="1418"/>
          <w:tab w:val="left" w:pos="1701"/>
        </w:tabs>
        <w:suppressAutoHyphens/>
        <w:spacing w:before="240"/>
        <w:ind w:left="360"/>
        <w:outlineLvl w:val="1"/>
      </w:pPr>
      <w:bookmarkStart w:id="16" w:name="_Toc1572145"/>
      <w:bookmarkStart w:id="17" w:name="_Toc191052303"/>
      <w:r w:rsidRPr="005216E8">
        <w:t>Description générale des installations concernées</w:t>
      </w:r>
      <w:bookmarkStart w:id="18" w:name="_Description_g%C3%A9n%C3%A9rale_des"/>
      <w:bookmarkEnd w:id="16"/>
      <w:bookmarkEnd w:id="18"/>
    </w:p>
    <w:p w:rsidR="00EF249B" w:rsidRPr="005216E8" w:rsidRDefault="00EF249B" w:rsidP="00EF249B">
      <w:pPr>
        <w:spacing w:before="60" w:after="60"/>
        <w:ind w:left="714"/>
        <w:rPr>
          <w:szCs w:val="24"/>
        </w:rPr>
      </w:pPr>
      <w:r w:rsidRPr="005216E8">
        <w:rPr>
          <w:szCs w:val="24"/>
        </w:rPr>
        <w:t>Les installations à maintenir se décomposent comme suit :</w:t>
      </w:r>
    </w:p>
    <w:p w:rsidR="00EF249B" w:rsidRPr="005216E8" w:rsidRDefault="00EF249B" w:rsidP="00EF249B">
      <w:pPr>
        <w:numPr>
          <w:ilvl w:val="0"/>
          <w:numId w:val="16"/>
        </w:numPr>
        <w:tabs>
          <w:tab w:val="clear" w:pos="717"/>
          <w:tab w:val="left" w:pos="1418"/>
        </w:tabs>
        <w:suppressAutoHyphens/>
        <w:spacing w:before="60" w:after="60"/>
        <w:ind w:left="1418" w:hanging="284"/>
        <w:rPr>
          <w:szCs w:val="24"/>
        </w:rPr>
      </w:pPr>
      <w:r>
        <w:rPr>
          <w:szCs w:val="24"/>
        </w:rPr>
        <w:t xml:space="preserve">Les Robinets d’incendies Armées de tous types, à partir de la vanne de barrage principale de l’installation RIA jusqu’à la lance de diffusion. La vanne de barrage principal et la lance de diffusion sont comprises dans les installations à maintenir </w:t>
      </w:r>
      <w:r w:rsidRPr="005216E8">
        <w:rPr>
          <w:szCs w:val="24"/>
        </w:rPr>
        <w:t>;</w:t>
      </w:r>
    </w:p>
    <w:p w:rsidR="00EF249B" w:rsidRPr="005216E8" w:rsidRDefault="00EF249B" w:rsidP="00EF249B">
      <w:pPr>
        <w:numPr>
          <w:ilvl w:val="0"/>
          <w:numId w:val="16"/>
        </w:numPr>
        <w:tabs>
          <w:tab w:val="clear" w:pos="717"/>
          <w:tab w:val="left" w:pos="1418"/>
        </w:tabs>
        <w:suppressAutoHyphens/>
        <w:spacing w:before="60" w:after="60"/>
        <w:ind w:left="1418" w:hanging="284"/>
        <w:rPr>
          <w:szCs w:val="24"/>
        </w:rPr>
      </w:pPr>
      <w:r>
        <w:rPr>
          <w:szCs w:val="24"/>
        </w:rPr>
        <w:t>Les colonnes sèches de tous types, du raccord d’alimentation à la buse de diffusion. Le robinet d’arrêt est donc compris dans l’installation ;</w:t>
      </w:r>
    </w:p>
    <w:p w:rsidR="00EF249B" w:rsidRPr="005216E8" w:rsidRDefault="00EF249B" w:rsidP="00EF249B">
      <w:pPr>
        <w:numPr>
          <w:ilvl w:val="0"/>
          <w:numId w:val="16"/>
        </w:numPr>
        <w:tabs>
          <w:tab w:val="clear" w:pos="717"/>
          <w:tab w:val="left" w:pos="1418"/>
        </w:tabs>
        <w:suppressAutoHyphens/>
        <w:spacing w:before="60" w:after="60"/>
        <w:ind w:left="1418" w:hanging="284"/>
        <w:rPr>
          <w:szCs w:val="24"/>
        </w:rPr>
      </w:pPr>
      <w:r>
        <w:rPr>
          <w:szCs w:val="24"/>
        </w:rPr>
        <w:t>Les installations d’arrosages en pluie et rideaux d’eau, à partir de la vanne de barrage principal de l’installation jusqu'aux buses de diffusion.</w:t>
      </w:r>
    </w:p>
    <w:p w:rsidR="00EF249B" w:rsidRDefault="00EF249B" w:rsidP="00EF249B">
      <w:pPr>
        <w:spacing w:before="120" w:after="60"/>
        <w:ind w:left="714"/>
        <w:rPr>
          <w:szCs w:val="24"/>
        </w:rPr>
      </w:pPr>
      <w:r w:rsidRPr="005216E8">
        <w:rPr>
          <w:b/>
          <w:szCs w:val="24"/>
          <w:u w:val="single"/>
        </w:rPr>
        <w:t>Nota :</w:t>
      </w:r>
    </w:p>
    <w:p w:rsidR="00EF249B" w:rsidRDefault="00EF249B" w:rsidP="00EF249B">
      <w:pPr>
        <w:spacing w:before="120" w:after="60"/>
        <w:ind w:left="714"/>
        <w:rPr>
          <w:szCs w:val="24"/>
        </w:rPr>
      </w:pPr>
      <w:r w:rsidRPr="005216E8">
        <w:rPr>
          <w:szCs w:val="24"/>
        </w:rPr>
        <w:t>Les installations sont constituées d’appareils pouvant provenir de différentes marques ou de différents fabricants. En conséquence, le titulaire est réputé posséder les connaissances et les compétences nécessaires pour assurer la maintenance et le dépannage de la totalité des équipements. Il ne peut donc pas opposer une quelconque méconnaissance technique ou fonctionnelle des installations pour se soustraire à ses obligations.</w:t>
      </w:r>
    </w:p>
    <w:p w:rsidR="00847838" w:rsidRPr="00CB7AB0" w:rsidRDefault="00847838" w:rsidP="00847838">
      <w:pPr>
        <w:pStyle w:val="Titre2"/>
      </w:pPr>
      <w:r w:rsidRPr="00CB7AB0">
        <w:t xml:space="preserve">ARTICLE </w:t>
      </w:r>
      <w:r>
        <w:t>6</w:t>
      </w:r>
      <w:r w:rsidRPr="00CB7AB0">
        <w:t xml:space="preserve">. </w:t>
      </w:r>
      <w:r>
        <w:t>PRESTATIONS FORFAITAIRES</w:t>
      </w:r>
      <w:bookmarkEnd w:id="17"/>
    </w:p>
    <w:p w:rsidR="00EF249B" w:rsidRDefault="00EF249B" w:rsidP="00224290">
      <w:pPr>
        <w:spacing w:before="120"/>
        <w:ind w:firstLine="714"/>
        <w:rPr>
          <w:szCs w:val="24"/>
        </w:rPr>
      </w:pPr>
      <w:r w:rsidRPr="005216E8">
        <w:rPr>
          <w:szCs w:val="24"/>
        </w:rPr>
        <w:t xml:space="preserve">Le titulaire </w:t>
      </w:r>
      <w:r>
        <w:rPr>
          <w:szCs w:val="24"/>
        </w:rPr>
        <w:t xml:space="preserve">du marché </w:t>
      </w:r>
      <w:r w:rsidRPr="005216E8">
        <w:rPr>
          <w:szCs w:val="24"/>
        </w:rPr>
        <w:t>réalise l</w:t>
      </w:r>
      <w:r>
        <w:rPr>
          <w:szCs w:val="24"/>
        </w:rPr>
        <w:t xml:space="preserve">a maintenance </w:t>
      </w:r>
      <w:r w:rsidRPr="005216E8">
        <w:rPr>
          <w:szCs w:val="24"/>
        </w:rPr>
        <w:t>préventi</w:t>
      </w:r>
      <w:r>
        <w:rPr>
          <w:szCs w:val="24"/>
        </w:rPr>
        <w:t>ve</w:t>
      </w:r>
      <w:r w:rsidRPr="005216E8">
        <w:rPr>
          <w:szCs w:val="24"/>
        </w:rPr>
        <w:t xml:space="preserve"> et les vérifications périodiques réglementaires des installations objet</w:t>
      </w:r>
      <w:r>
        <w:rPr>
          <w:szCs w:val="24"/>
        </w:rPr>
        <w:t>s</w:t>
      </w:r>
      <w:r w:rsidRPr="005216E8">
        <w:rPr>
          <w:szCs w:val="24"/>
        </w:rPr>
        <w:t xml:space="preserve"> du présent marché. Ces prestations portent sur l’ensemble </w:t>
      </w:r>
      <w:r>
        <w:rPr>
          <w:szCs w:val="24"/>
        </w:rPr>
        <w:t xml:space="preserve">des installations </w:t>
      </w:r>
      <w:r w:rsidRPr="005216E8">
        <w:rPr>
          <w:szCs w:val="24"/>
        </w:rPr>
        <w:t>d</w:t>
      </w:r>
      <w:r>
        <w:rPr>
          <w:szCs w:val="24"/>
        </w:rPr>
        <w:t>u périmètre technique du marché.</w:t>
      </w:r>
    </w:p>
    <w:p w:rsidR="00717B36" w:rsidRDefault="00EF249B" w:rsidP="00224290">
      <w:pPr>
        <w:ind w:firstLine="714"/>
        <w:rPr>
          <w:szCs w:val="24"/>
        </w:rPr>
      </w:pPr>
      <w:r>
        <w:rPr>
          <w:szCs w:val="24"/>
        </w:rPr>
        <w:t>A l’issue de chaque intervention, le titulaire du marché consigne les opérations de maintenance dans le registre de sécurité du site concerné et transmet un compte rendu de ma</w:t>
      </w:r>
      <w:r w:rsidR="00AB497E">
        <w:rPr>
          <w:szCs w:val="24"/>
        </w:rPr>
        <w:t xml:space="preserve">intenance au représentant du </w:t>
      </w:r>
      <w:r>
        <w:rPr>
          <w:szCs w:val="24"/>
        </w:rPr>
        <w:t>SID de Brest</w:t>
      </w:r>
      <w:r w:rsidR="00224290">
        <w:rPr>
          <w:szCs w:val="24"/>
        </w:rPr>
        <w:t>.</w:t>
      </w:r>
    </w:p>
    <w:p w:rsidR="00224290" w:rsidRDefault="00224290" w:rsidP="00224290">
      <w:r w:rsidRPr="002A73DB">
        <w:t>Les gammes de maintenance regroupées dans le</w:t>
      </w:r>
      <w:r>
        <w:t>s</w:t>
      </w:r>
      <w:r w:rsidRPr="002A73DB">
        <w:t xml:space="preserve"> tableau</w:t>
      </w:r>
      <w:r>
        <w:t>x</w:t>
      </w:r>
      <w:r w:rsidRPr="002A73DB">
        <w:t xml:space="preserve"> ci-</w:t>
      </w:r>
      <w:r>
        <w:t>dessous</w:t>
      </w:r>
      <w:r w:rsidRPr="002A73DB">
        <w:t>, sont proposées au titulaire. Il lui</w:t>
      </w:r>
      <w:r>
        <w:t xml:space="preserve"> </w:t>
      </w:r>
      <w:r w:rsidRPr="002A73DB">
        <w:t>appartient de les adapter et préciser toutes les opérations complémentaires, conformes aux</w:t>
      </w:r>
      <w:r>
        <w:t xml:space="preserve"> </w:t>
      </w:r>
      <w:r w:rsidRPr="002A73DB">
        <w:t>exigences du constructeur.</w:t>
      </w:r>
    </w:p>
    <w:p w:rsidR="00224290" w:rsidRDefault="00224290" w:rsidP="00224290"/>
    <w:p w:rsidR="00224290" w:rsidRDefault="00224290" w:rsidP="00224290"/>
    <w:p w:rsidR="00224290" w:rsidRDefault="00224290" w:rsidP="00224290"/>
    <w:p w:rsidR="00224290" w:rsidRDefault="00224290" w:rsidP="00224290"/>
    <w:p w:rsidR="00224290" w:rsidRDefault="00224290" w:rsidP="00224290"/>
    <w:p w:rsidR="00224290" w:rsidRDefault="00224290" w:rsidP="00224290"/>
    <w:p w:rsidR="00224290" w:rsidRDefault="00224290" w:rsidP="00224290"/>
    <w:p w:rsidR="00224290" w:rsidRDefault="00224290" w:rsidP="00224290"/>
    <w:tbl>
      <w:tblPr>
        <w:tblW w:w="5000" w:type="pct"/>
        <w:tblBorders>
          <w:top w:val="double" w:sz="6" w:space="0" w:color="auto"/>
          <w:left w:val="double" w:sz="6" w:space="0" w:color="auto"/>
          <w:bottom w:val="double" w:sz="6" w:space="0" w:color="auto"/>
          <w:right w:val="double" w:sz="6" w:space="0" w:color="auto"/>
          <w:insideV w:val="double" w:sz="6" w:space="0" w:color="auto"/>
        </w:tblBorders>
        <w:tblCellMar>
          <w:left w:w="71" w:type="dxa"/>
          <w:right w:w="71" w:type="dxa"/>
        </w:tblCellMar>
        <w:tblLook w:val="0000" w:firstRow="0" w:lastRow="0" w:firstColumn="0" w:lastColumn="0" w:noHBand="0" w:noVBand="0"/>
      </w:tblPr>
      <w:tblGrid>
        <w:gridCol w:w="2175"/>
        <w:gridCol w:w="7323"/>
      </w:tblGrid>
      <w:tr w:rsidR="00224290" w:rsidTr="00AD7CC5">
        <w:trPr>
          <w:cantSplit/>
        </w:trPr>
        <w:tc>
          <w:tcPr>
            <w:tcW w:w="1145" w:type="pct"/>
            <w:tcBorders>
              <w:top w:val="double" w:sz="6" w:space="0" w:color="auto"/>
              <w:bottom w:val="double" w:sz="6" w:space="0" w:color="auto"/>
            </w:tcBorders>
            <w:shd w:val="pct70" w:color="FFFFFF" w:fill="C0C0C0"/>
          </w:tcPr>
          <w:p w:rsidR="00224290" w:rsidRDefault="00224290" w:rsidP="00224290">
            <w:pPr>
              <w:spacing w:before="120"/>
              <w:jc w:val="center"/>
              <w:rPr>
                <w:b/>
                <w:sz w:val="24"/>
              </w:rPr>
            </w:pPr>
            <w:r>
              <w:rPr>
                <w:sz w:val="24"/>
              </w:rPr>
              <w:br w:type="page"/>
            </w:r>
            <w:r>
              <w:rPr>
                <w:sz w:val="24"/>
              </w:rPr>
              <w:br w:type="page"/>
            </w:r>
            <w:r>
              <w:rPr>
                <w:b/>
                <w:sz w:val="24"/>
              </w:rPr>
              <w:t>EQUIPEMENT</w:t>
            </w:r>
          </w:p>
        </w:tc>
        <w:tc>
          <w:tcPr>
            <w:tcW w:w="3855" w:type="pct"/>
          </w:tcPr>
          <w:p w:rsidR="00224290" w:rsidRDefault="00224290" w:rsidP="00224290">
            <w:pPr>
              <w:pStyle w:val="Titre1"/>
            </w:pPr>
            <w:bookmarkStart w:id="19" w:name="_Toc89750220"/>
            <w:r>
              <w:t>ROBINET D’INCENDIE ARMÉ (RIA)</w:t>
            </w:r>
            <w:bookmarkEnd w:id="19"/>
          </w:p>
        </w:tc>
      </w:tr>
    </w:tbl>
    <w:p w:rsidR="00224290" w:rsidRDefault="00224290" w:rsidP="00224290">
      <w:pPr>
        <w:ind w:firstLine="714"/>
        <w:jc w:val="center"/>
        <w:rPr>
          <w:sz w:val="36"/>
          <w:szCs w:val="36"/>
          <w:u w:val="single"/>
        </w:rPr>
      </w:pPr>
    </w:p>
    <w:p w:rsidR="00224290" w:rsidRDefault="00224290" w:rsidP="00224290">
      <w:pPr>
        <w:ind w:firstLine="714"/>
        <w:jc w:val="center"/>
        <w:rPr>
          <w:sz w:val="36"/>
          <w:szCs w:val="36"/>
          <w:u w:val="single"/>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5905"/>
        <w:gridCol w:w="513"/>
        <w:gridCol w:w="513"/>
        <w:gridCol w:w="513"/>
        <w:gridCol w:w="513"/>
        <w:gridCol w:w="513"/>
        <w:gridCol w:w="515"/>
        <w:gridCol w:w="513"/>
      </w:tblGrid>
      <w:tr w:rsidR="00224290" w:rsidTr="00AD7CC5">
        <w:tc>
          <w:tcPr>
            <w:tcW w:w="3109" w:type="pct"/>
            <w:tcBorders>
              <w:top w:val="single" w:sz="12" w:space="0" w:color="auto"/>
              <w:bottom w:val="single" w:sz="6" w:space="0" w:color="auto"/>
            </w:tcBorders>
            <w:shd w:val="pct50" w:color="FFFFFF" w:fill="C0C0C0"/>
          </w:tcPr>
          <w:p w:rsidR="00224290" w:rsidRDefault="00224290" w:rsidP="00AD7CC5">
            <w:pPr>
              <w:jc w:val="center"/>
              <w:rPr>
                <w:b/>
                <w:lang w:val="en-GB"/>
              </w:rPr>
            </w:pPr>
            <w:r>
              <w:rPr>
                <w:b/>
                <w:lang w:val="en-GB"/>
              </w:rPr>
              <w:t>TACHES A REALISER</w:t>
            </w:r>
          </w:p>
        </w:tc>
        <w:tc>
          <w:tcPr>
            <w:tcW w:w="1891" w:type="pct"/>
            <w:gridSpan w:val="7"/>
            <w:tcBorders>
              <w:top w:val="single" w:sz="12" w:space="0" w:color="auto"/>
              <w:bottom w:val="single" w:sz="6" w:space="0" w:color="auto"/>
            </w:tcBorders>
            <w:shd w:val="pct50" w:color="FFFFFF" w:fill="C0C0C0"/>
          </w:tcPr>
          <w:p w:rsidR="00224290" w:rsidRDefault="00224290" w:rsidP="00AD7CC5">
            <w:pPr>
              <w:jc w:val="center"/>
              <w:rPr>
                <w:b/>
                <w:sz w:val="18"/>
              </w:rPr>
            </w:pPr>
            <w:r>
              <w:rPr>
                <w:b/>
                <w:sz w:val="18"/>
              </w:rPr>
              <w:t>FREQUENCES</w:t>
            </w:r>
          </w:p>
        </w:tc>
      </w:tr>
      <w:tr w:rsidR="00224290" w:rsidTr="00AD7CC5">
        <w:trPr>
          <w:trHeight w:val="608"/>
        </w:trPr>
        <w:tc>
          <w:tcPr>
            <w:tcW w:w="3109" w:type="pct"/>
            <w:tcBorders>
              <w:top w:val="single" w:sz="6" w:space="0" w:color="auto"/>
              <w:bottom w:val="single" w:sz="6" w:space="0" w:color="auto"/>
            </w:tcBorders>
            <w:shd w:val="pct50" w:color="FFFFFF" w:fill="C0C0C0"/>
          </w:tcPr>
          <w:p w:rsidR="00224290" w:rsidRDefault="00224290" w:rsidP="00AD7CC5">
            <w:pPr>
              <w:jc w:val="center"/>
              <w:rPr>
                <w:b/>
              </w:rPr>
            </w:pP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J</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H</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M</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T</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S</w:t>
            </w:r>
          </w:p>
        </w:tc>
        <w:tc>
          <w:tcPr>
            <w:tcW w:w="271"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A</w:t>
            </w:r>
          </w:p>
        </w:tc>
        <w:tc>
          <w:tcPr>
            <w:tcW w:w="271"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 xml:space="preserve">10 </w:t>
            </w:r>
            <w:proofErr w:type="spellStart"/>
            <w:r>
              <w:rPr>
                <w:b/>
                <w:sz w:val="18"/>
                <w:lang w:val="en-GB"/>
              </w:rPr>
              <w:t>ans</w:t>
            </w:r>
            <w:proofErr w:type="spellEnd"/>
          </w:p>
        </w:tc>
      </w:tr>
      <w:tr w:rsidR="00224290" w:rsidTr="00AD7CC5">
        <w:tc>
          <w:tcPr>
            <w:tcW w:w="3109" w:type="pct"/>
          </w:tcPr>
          <w:p w:rsidR="00224290" w:rsidRPr="00E566A1" w:rsidRDefault="00224290" w:rsidP="00AD7CC5">
            <w:pPr>
              <w:pStyle w:val="Default"/>
              <w:jc w:val="both"/>
            </w:pPr>
            <w:r>
              <w:t>Vérification de la présence d’une signalisation et mise en place si non présente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jc w:val="both"/>
            </w:pPr>
            <w:r w:rsidRPr="00E566A1">
              <w:t>Vérifier le fonctionnement des vannes de barrage, contre-barrage et tous les organes manœuvrables de l’installation.</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Vérifier la fixation du RIA</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jc w:val="both"/>
            </w:pPr>
            <w:r w:rsidRPr="00E566A1">
              <w:t xml:space="preserve">Vérifier que chaque RIA est accessible, visible et comporte de façon lisible les instructions de fonctionnement.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 xml:space="preserve">Vérifier qu’aucun élément constitutif de l’installation ne manque et que chacun est d’un modèle approprié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 xml:space="preserve">S’assurer que les RIA sont en eau et prêts à fonctionner (en eau mais non sous pression).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 xml:space="preserve">Vérifier visuellement l’absence de toute dégradation, corrosion ou fuite d’eau manifeste des RIA.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 xml:space="preserve">Vérifier le fonctionnement du manomètre situé en amont du RIA le plus défavorisé et relever la pression indiquée.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Vérifier le fonctionnement des moteurs d’entrainement du surpresse</w:t>
            </w:r>
            <w:r>
              <w:rPr>
                <w:rFonts w:ascii="Times New Roman" w:hAnsi="Times New Roman"/>
                <w:color w:val="000000"/>
                <w:sz w:val="24"/>
                <w:szCs w:val="24"/>
              </w:rPr>
              <w:t>ur si existant</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Vérifier le niveau d</w:t>
            </w:r>
            <w:r>
              <w:rPr>
                <w:rFonts w:ascii="Times New Roman" w:hAnsi="Times New Roman"/>
                <w:color w:val="000000"/>
                <w:sz w:val="24"/>
                <w:szCs w:val="24"/>
              </w:rPr>
              <w:t>’émulseur et compléter si existant</w:t>
            </w:r>
            <w:r w:rsidRPr="00DA26C6">
              <w:rPr>
                <w:rFonts w:ascii="Times New Roman" w:hAnsi="Times New Roman"/>
                <w:color w:val="000000"/>
                <w:sz w:val="24"/>
                <w:szCs w:val="24"/>
              </w:rPr>
              <w:t xml:space="preserve">.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Pr="00EB2BD4" w:rsidRDefault="00224290" w:rsidP="00AD7CC5">
            <w:pPr>
              <w:spacing w:before="120"/>
              <w:jc w:val="center"/>
              <w:rPr>
                <w:color w:val="FF0000"/>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jc w:val="both"/>
            </w:pPr>
            <w:r w:rsidRPr="00E566A1">
              <w:t xml:space="preserve">Vérifier le clapet anti-pollution conformément à la règlementation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rPr>
          <w:trHeight w:val="686"/>
        </w:trPr>
        <w:tc>
          <w:tcPr>
            <w:tcW w:w="3109" w:type="pct"/>
          </w:tcPr>
          <w:p w:rsidR="00224290" w:rsidRPr="00F7289D"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 xml:space="preserve">Vérifier que la pression maximale de service est toujours respectée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pPr>
            <w:r w:rsidRPr="00E566A1">
              <w:t xml:space="preserve">Effectuer les mesures hydrauliques des deux RIA les plus défavorisés afin de vérifier que les caractéristiques de l’installation sont inchangées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spacing w:after="15"/>
            </w:pPr>
            <w:r w:rsidRPr="00E566A1">
              <w:t xml:space="preserve">Soumettre chaque RIA à un essai d’écoulement d’une durée suffisante, tuyau complètement déroulé pour le contrôle des points suivants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Débit d’eau régulier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Diffuseur adapté et fonctionnel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Bon état du tuyau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Fonctionnement du manomètre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Bon serrage des colliers ; </w:t>
            </w:r>
          </w:p>
          <w:p w:rsidR="00224290" w:rsidRPr="00E566A1" w:rsidRDefault="00224290" w:rsidP="00224290">
            <w:pPr>
              <w:pStyle w:val="Default"/>
              <w:numPr>
                <w:ilvl w:val="1"/>
                <w:numId w:val="19"/>
              </w:numPr>
              <w:spacing w:after="15"/>
            </w:pPr>
            <w:proofErr w:type="gramStart"/>
            <w:r w:rsidRPr="00E566A1">
              <w:t>o</w:t>
            </w:r>
            <w:proofErr w:type="gramEnd"/>
            <w:r w:rsidRPr="00E566A1">
              <w:t xml:space="preserve"> Mouvement et pivotement des dévidoirs ; </w:t>
            </w:r>
          </w:p>
          <w:p w:rsidR="00224290" w:rsidRPr="00253C49" w:rsidRDefault="00224290" w:rsidP="00224290">
            <w:pPr>
              <w:pStyle w:val="Default"/>
              <w:numPr>
                <w:ilvl w:val="1"/>
                <w:numId w:val="19"/>
              </w:numPr>
            </w:pPr>
            <w:proofErr w:type="gramStart"/>
            <w:r w:rsidRPr="00E566A1">
              <w:t>o</w:t>
            </w:r>
            <w:proofErr w:type="gramEnd"/>
            <w:r w:rsidRPr="00E566A1">
              <w:t xml:space="preserve"> Bon fonctionnement des robinets d’arrêt.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vAlign w:val="center"/>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V</w:t>
            </w:r>
            <w:r w:rsidRPr="00DA26C6">
              <w:rPr>
                <w:rFonts w:ascii="Times New Roman" w:hAnsi="Times New Roman"/>
                <w:color w:val="000000"/>
                <w:sz w:val="24"/>
                <w:szCs w:val="24"/>
              </w:rPr>
              <w:t xml:space="preserve">érifier l’état du réseau de canalisations </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vAlign w:val="center"/>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jc w:val="both"/>
            </w:pPr>
            <w:r w:rsidRPr="00E566A1">
              <w:t xml:space="preserve">Vérifier le bon fonctionnement des pompes et de l’armoire de commande </w:t>
            </w:r>
            <w:r>
              <w:t>si existant</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vAlign w:val="center"/>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pStyle w:val="Default"/>
              <w:jc w:val="both"/>
            </w:pPr>
            <w:r w:rsidRPr="00E566A1">
              <w:t xml:space="preserve">Vérifier le fonctionnement des dispositifs de protection contre le gel </w:t>
            </w:r>
            <w:r>
              <w:t>si existant</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vAlign w:val="center"/>
          </w:tcPr>
          <w:p w:rsidR="00224290" w:rsidRDefault="00224290" w:rsidP="00AD7CC5">
            <w:pPr>
              <w:spacing w:before="120"/>
              <w:jc w:val="center"/>
              <w:rPr>
                <w:sz w:val="18"/>
              </w:rPr>
            </w:pP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Vérifier le bon fonct</w:t>
            </w:r>
            <w:r>
              <w:rPr>
                <w:rFonts w:ascii="Times New Roman" w:hAnsi="Times New Roman"/>
                <w:color w:val="000000"/>
                <w:sz w:val="24"/>
                <w:szCs w:val="24"/>
              </w:rPr>
              <w:t>ionnement des reports d’alarme si existant</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c>
          <w:tcPr>
            <w:tcW w:w="271" w:type="pct"/>
            <w:vAlign w:val="center"/>
          </w:tcPr>
          <w:p w:rsidR="00224290" w:rsidRDefault="00224290" w:rsidP="00AD7CC5">
            <w:pPr>
              <w:spacing w:before="120"/>
              <w:jc w:val="center"/>
              <w:rPr>
                <w:sz w:val="18"/>
                <w:lang w:val="nl-NL"/>
              </w:rPr>
            </w:pPr>
          </w:p>
        </w:tc>
      </w:tr>
      <w:tr w:rsidR="00224290" w:rsidTr="00AD7CC5">
        <w:tc>
          <w:tcPr>
            <w:tcW w:w="3109" w:type="pct"/>
          </w:tcPr>
          <w:p w:rsidR="00224290" w:rsidRPr="00DA26C6"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 xml:space="preserve">Nettoyer et entretenir tous les réservoirs </w:t>
            </w:r>
            <w:r>
              <w:rPr>
                <w:rFonts w:ascii="Times New Roman" w:hAnsi="Times New Roman"/>
                <w:color w:val="000000"/>
                <w:sz w:val="24"/>
                <w:szCs w:val="24"/>
              </w:rPr>
              <w:t>si existant</w:t>
            </w:r>
          </w:p>
          <w:p w:rsidR="00224290" w:rsidRPr="00E566A1" w:rsidRDefault="00224290" w:rsidP="00AD7CC5">
            <w:pPr>
              <w:autoSpaceDE w:val="0"/>
              <w:autoSpaceDN w:val="0"/>
              <w:adjustRightInd w:val="0"/>
              <w:spacing w:after="0"/>
              <w:rPr>
                <w:rFonts w:ascii="Times New Roman" w:hAnsi="Times New Roman"/>
                <w:color w:val="000000"/>
                <w:sz w:val="24"/>
                <w:szCs w:val="24"/>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c>
          <w:tcPr>
            <w:tcW w:w="271" w:type="pct"/>
            <w:vAlign w:val="center"/>
          </w:tcPr>
          <w:p w:rsidR="00224290" w:rsidRDefault="00224290" w:rsidP="00AD7CC5">
            <w:pPr>
              <w:spacing w:before="120"/>
              <w:jc w:val="center"/>
              <w:rPr>
                <w:sz w:val="18"/>
                <w:lang w:val="nl-NL"/>
              </w:rPr>
            </w:pPr>
          </w:p>
        </w:tc>
      </w:tr>
      <w:tr w:rsidR="00224290" w:rsidTr="00AD7CC5">
        <w:tc>
          <w:tcPr>
            <w:tcW w:w="3109" w:type="pct"/>
          </w:tcPr>
          <w:p w:rsidR="00224290" w:rsidRPr="00E566A1" w:rsidRDefault="00224290" w:rsidP="00AD7CC5">
            <w:pPr>
              <w:pStyle w:val="Default"/>
            </w:pPr>
            <w:r w:rsidRPr="000862AD">
              <w:t>Renseigner l’étiquette (date, nom, signature)</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c>
          <w:tcPr>
            <w:tcW w:w="271" w:type="pct"/>
            <w:vAlign w:val="center"/>
          </w:tcPr>
          <w:p w:rsidR="00224290" w:rsidRDefault="00224290" w:rsidP="00AD7CC5">
            <w:pPr>
              <w:spacing w:before="120"/>
              <w:jc w:val="center"/>
              <w:rPr>
                <w:sz w:val="18"/>
                <w:lang w:val="nl-NL"/>
              </w:rPr>
            </w:pPr>
          </w:p>
        </w:tc>
      </w:tr>
      <w:tr w:rsidR="00224290" w:rsidTr="00AD7CC5">
        <w:tc>
          <w:tcPr>
            <w:tcW w:w="3109" w:type="pct"/>
          </w:tcPr>
          <w:p w:rsidR="00224290" w:rsidRPr="000862AD" w:rsidRDefault="00224290" w:rsidP="00AD7CC5">
            <w:pPr>
              <w:pStyle w:val="Default"/>
              <w:jc w:val="both"/>
            </w:pPr>
            <w:r>
              <w:t>Signature du registre de sécurité situé dans le bureau du chargé de prévention du site concerné</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c>
          <w:tcPr>
            <w:tcW w:w="271" w:type="pct"/>
            <w:vAlign w:val="center"/>
          </w:tcPr>
          <w:p w:rsidR="00224290" w:rsidRDefault="00224290" w:rsidP="00AD7CC5">
            <w:pPr>
              <w:spacing w:before="120"/>
              <w:jc w:val="center"/>
              <w:rPr>
                <w:sz w:val="18"/>
                <w:lang w:val="nl-NL"/>
              </w:rPr>
            </w:pPr>
          </w:p>
        </w:tc>
      </w:tr>
      <w:tr w:rsidR="00224290" w:rsidTr="00AD7CC5">
        <w:trPr>
          <w:trHeight w:val="554"/>
        </w:trPr>
        <w:tc>
          <w:tcPr>
            <w:tcW w:w="3109" w:type="pct"/>
          </w:tcPr>
          <w:p w:rsidR="00224290" w:rsidRPr="00E566A1" w:rsidRDefault="00224290" w:rsidP="00AD7CC5">
            <w:pPr>
              <w:pStyle w:val="Default"/>
              <w:jc w:val="both"/>
            </w:pPr>
            <w:r>
              <w:t>Rédaction d’un rapport détaillé faisant apparaître l’ensemble des prestations réalisées</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c>
          <w:tcPr>
            <w:tcW w:w="271" w:type="pct"/>
            <w:vAlign w:val="center"/>
          </w:tcPr>
          <w:p w:rsidR="00224290" w:rsidRDefault="00224290" w:rsidP="00AD7CC5">
            <w:pPr>
              <w:spacing w:before="120"/>
              <w:jc w:val="center"/>
              <w:rPr>
                <w:sz w:val="18"/>
                <w:lang w:val="nl-NL"/>
              </w:rPr>
            </w:pPr>
          </w:p>
        </w:tc>
      </w:tr>
      <w:tr w:rsidR="00224290" w:rsidTr="00AD7CC5">
        <w:trPr>
          <w:trHeight w:val="1095"/>
        </w:trPr>
        <w:tc>
          <w:tcPr>
            <w:tcW w:w="3109" w:type="pct"/>
          </w:tcPr>
          <w:p w:rsidR="00224290" w:rsidRPr="00E566A1" w:rsidRDefault="00224290" w:rsidP="00AD7CC5">
            <w:pPr>
              <w:pStyle w:val="Default"/>
              <w:jc w:val="both"/>
            </w:pPr>
            <w:r w:rsidRPr="00E566A1">
              <w:t xml:space="preserve">Soumettre tous les RIA à un essai de pression hydrostatique à la pression maximale de service pendant 5 minutes. </w:t>
            </w:r>
          </w:p>
          <w:p w:rsidR="00224290" w:rsidRPr="00E566A1" w:rsidRDefault="00224290" w:rsidP="00AD7CC5">
            <w:pPr>
              <w:autoSpaceDE w:val="0"/>
              <w:autoSpaceDN w:val="0"/>
              <w:adjustRightInd w:val="0"/>
              <w:spacing w:after="0"/>
              <w:rPr>
                <w:rFonts w:ascii="Times New Roman" w:hAnsi="Times New Roman"/>
                <w:color w:val="000000"/>
                <w:sz w:val="24"/>
                <w:szCs w:val="24"/>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rPr>
          <w:trHeight w:val="690"/>
        </w:trPr>
        <w:tc>
          <w:tcPr>
            <w:tcW w:w="3109" w:type="pct"/>
          </w:tcPr>
          <w:p w:rsidR="00224290" w:rsidRPr="00DA26C6" w:rsidRDefault="00224290" w:rsidP="00AD7CC5">
            <w:pPr>
              <w:autoSpaceDE w:val="0"/>
              <w:autoSpaceDN w:val="0"/>
              <w:adjustRightInd w:val="0"/>
              <w:spacing w:after="0"/>
              <w:rPr>
                <w:rFonts w:ascii="Times New Roman" w:hAnsi="Times New Roman"/>
                <w:color w:val="000000"/>
                <w:sz w:val="24"/>
                <w:szCs w:val="24"/>
              </w:rPr>
            </w:pPr>
            <w:r w:rsidRPr="00DA26C6">
              <w:rPr>
                <w:rFonts w:ascii="Times New Roman" w:hAnsi="Times New Roman"/>
                <w:color w:val="000000"/>
                <w:sz w:val="24"/>
                <w:szCs w:val="24"/>
              </w:rPr>
              <w:t xml:space="preserve">Rincer </w:t>
            </w:r>
            <w:r w:rsidRPr="00E566A1">
              <w:rPr>
                <w:rFonts w:ascii="Times New Roman" w:hAnsi="Times New Roman"/>
                <w:color w:val="000000"/>
                <w:sz w:val="24"/>
                <w:szCs w:val="24"/>
              </w:rPr>
              <w:t xml:space="preserve">et vidanger </w:t>
            </w:r>
            <w:r w:rsidRPr="00DA26C6">
              <w:rPr>
                <w:rFonts w:ascii="Times New Roman" w:hAnsi="Times New Roman"/>
                <w:color w:val="000000"/>
                <w:sz w:val="24"/>
                <w:szCs w:val="24"/>
              </w:rPr>
              <w:t xml:space="preserve">les </w:t>
            </w:r>
            <w:r w:rsidRPr="00E566A1">
              <w:rPr>
                <w:rFonts w:ascii="Times New Roman" w:hAnsi="Times New Roman"/>
                <w:color w:val="000000"/>
                <w:sz w:val="24"/>
                <w:szCs w:val="24"/>
              </w:rPr>
              <w:t>canalisations</w:t>
            </w:r>
            <w:r w:rsidRPr="00DA26C6">
              <w:rPr>
                <w:rFonts w:ascii="Times New Roman" w:hAnsi="Times New Roman"/>
                <w:color w:val="000000"/>
                <w:sz w:val="24"/>
                <w:szCs w:val="24"/>
              </w:rPr>
              <w:t xml:space="preserve"> </w:t>
            </w:r>
          </w:p>
          <w:p w:rsidR="00224290" w:rsidRPr="00E566A1" w:rsidRDefault="00224290" w:rsidP="00AD7CC5">
            <w:pPr>
              <w:pStyle w:val="Default"/>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c>
          <w:tcPr>
            <w:tcW w:w="3109" w:type="pct"/>
          </w:tcPr>
          <w:p w:rsidR="00224290" w:rsidRPr="00E566A1" w:rsidRDefault="00224290" w:rsidP="00AD7CC5">
            <w:pPr>
              <w:pStyle w:val="Default"/>
            </w:pPr>
            <w:r w:rsidRPr="00E566A1">
              <w:t xml:space="preserve">Contrôler l’état de corrosion interne des tuyauteries et procéder à la remise en état nécessaires ; </w:t>
            </w:r>
          </w:p>
          <w:p w:rsidR="00224290" w:rsidRPr="00E566A1" w:rsidRDefault="00224290" w:rsidP="00AD7CC5">
            <w:pPr>
              <w:pStyle w:val="Default"/>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sidRPr="00E566A1">
              <w:rPr>
                <w:rFonts w:ascii="Times New Roman" w:hAnsi="Times New Roman"/>
                <w:color w:val="000000"/>
                <w:sz w:val="24"/>
                <w:szCs w:val="24"/>
              </w:rPr>
              <w:t>Contr</w:t>
            </w:r>
            <w:r>
              <w:rPr>
                <w:rFonts w:ascii="Times New Roman" w:hAnsi="Times New Roman"/>
                <w:color w:val="000000"/>
                <w:sz w:val="24"/>
                <w:szCs w:val="24"/>
              </w:rPr>
              <w:t>ôler l’alignement moteur/pompe si existant</w:t>
            </w:r>
          </w:p>
          <w:p w:rsidR="00224290" w:rsidRPr="00E566A1" w:rsidRDefault="00224290" w:rsidP="00AD7CC5">
            <w:pPr>
              <w:pStyle w:val="Default"/>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c>
          <w:tcPr>
            <w:tcW w:w="3109" w:type="pct"/>
          </w:tcPr>
          <w:p w:rsidR="00224290" w:rsidRPr="00E566A1" w:rsidRDefault="00224290" w:rsidP="00AD7CC5">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 xml:space="preserve">Renseigner l’étiquette </w:t>
            </w:r>
            <w:r>
              <w:t>(date, nom, signature)</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c>
          <w:tcPr>
            <w:tcW w:w="3109" w:type="pct"/>
          </w:tcPr>
          <w:p w:rsidR="00224290" w:rsidRDefault="00224290" w:rsidP="00AD7CC5">
            <w:pPr>
              <w:autoSpaceDE w:val="0"/>
              <w:autoSpaceDN w:val="0"/>
              <w:adjustRightInd w:val="0"/>
              <w:spacing w:after="0"/>
              <w:rPr>
                <w:rFonts w:ascii="Times New Roman" w:hAnsi="Times New Roman"/>
                <w:color w:val="000000"/>
                <w:sz w:val="24"/>
                <w:szCs w:val="24"/>
              </w:rPr>
            </w:pPr>
            <w:r>
              <w:rPr>
                <w:rFonts w:ascii="Times New Roman" w:hAnsi="Times New Roman"/>
              </w:rPr>
              <w:t>Signature du registre de sécurité situé dans le bureau du chargé de prévention du site concerné</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r>
      <w:tr w:rsidR="00224290" w:rsidTr="00AD7CC5">
        <w:tc>
          <w:tcPr>
            <w:tcW w:w="3109" w:type="pct"/>
          </w:tcPr>
          <w:p w:rsidR="00224290" w:rsidRPr="00E566A1" w:rsidRDefault="00224290" w:rsidP="00AD7CC5">
            <w:pPr>
              <w:pStyle w:val="Default"/>
              <w:jc w:val="both"/>
            </w:pPr>
            <w:r>
              <w:t>Rédaction d’un rapport détaillé faisant apparaître l’ensemble des mesures / vérifications et contrôles réalisés</w:t>
            </w: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0" w:type="pct"/>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p>
        </w:tc>
        <w:tc>
          <w:tcPr>
            <w:tcW w:w="271" w:type="pct"/>
            <w:vAlign w:val="center"/>
          </w:tcPr>
          <w:p w:rsidR="00224290" w:rsidRDefault="00224290" w:rsidP="00AD7CC5">
            <w:pPr>
              <w:spacing w:before="120"/>
              <w:jc w:val="center"/>
              <w:rPr>
                <w:sz w:val="18"/>
                <w:lang w:val="nl-NL"/>
              </w:rPr>
            </w:pPr>
            <w:r>
              <w:rPr>
                <w:sz w:val="18"/>
                <w:lang w:val="nl-NL"/>
              </w:rPr>
              <w:t>X</w:t>
            </w:r>
          </w:p>
        </w:tc>
      </w:tr>
      <w:tr w:rsidR="00224290" w:rsidTr="00AD7CC5">
        <w:tc>
          <w:tcPr>
            <w:tcW w:w="3109" w:type="pct"/>
          </w:tcPr>
          <w:p w:rsidR="00224290" w:rsidRPr="00E566A1" w:rsidRDefault="00224290" w:rsidP="00AD7CC5">
            <w:pPr>
              <w:spacing w:before="120"/>
              <w:rPr>
                <w:rFonts w:ascii="Times New Roman" w:hAnsi="Times New Roman"/>
                <w:sz w:val="24"/>
                <w:szCs w:val="24"/>
              </w:rPr>
            </w:pPr>
            <w:r w:rsidRPr="00E566A1">
              <w:rPr>
                <w:rFonts w:ascii="Times New Roman" w:hAnsi="Times New Roman"/>
                <w:sz w:val="24"/>
                <w:szCs w:val="24"/>
              </w:rPr>
              <w:t>NOTA : Il est souhaitable que chaque RIA dispose d’une fiche de vérification sur laquelle sont portés la date, les résultats de la vérification et la signature de l’intervenant.</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vAlign w:val="center"/>
          </w:tcPr>
          <w:p w:rsidR="00224290" w:rsidRDefault="00224290" w:rsidP="00AD7CC5">
            <w:pPr>
              <w:spacing w:before="120"/>
              <w:jc w:val="center"/>
              <w:rPr>
                <w:sz w:val="18"/>
              </w:rPr>
            </w:pPr>
            <w:r>
              <w:rPr>
                <w:sz w:val="18"/>
              </w:rPr>
              <w:t>X</w:t>
            </w:r>
          </w:p>
        </w:tc>
        <w:tc>
          <w:tcPr>
            <w:tcW w:w="271" w:type="pct"/>
            <w:vAlign w:val="center"/>
          </w:tcPr>
          <w:p w:rsidR="00224290" w:rsidRDefault="00224290" w:rsidP="00AD7CC5">
            <w:pPr>
              <w:spacing w:before="120"/>
              <w:jc w:val="center"/>
              <w:rPr>
                <w:sz w:val="18"/>
              </w:rPr>
            </w:pPr>
          </w:p>
        </w:tc>
      </w:tr>
    </w:tbl>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tbl>
      <w:tblPr>
        <w:tblW w:w="5000" w:type="pct"/>
        <w:tblBorders>
          <w:top w:val="double" w:sz="6" w:space="0" w:color="auto"/>
          <w:left w:val="double" w:sz="6" w:space="0" w:color="auto"/>
          <w:bottom w:val="double" w:sz="6" w:space="0" w:color="auto"/>
          <w:right w:val="double" w:sz="6" w:space="0" w:color="auto"/>
          <w:insideV w:val="double" w:sz="6" w:space="0" w:color="auto"/>
        </w:tblBorders>
        <w:tblCellMar>
          <w:left w:w="71" w:type="dxa"/>
          <w:right w:w="71" w:type="dxa"/>
        </w:tblCellMar>
        <w:tblLook w:val="0000" w:firstRow="0" w:lastRow="0" w:firstColumn="0" w:lastColumn="0" w:noHBand="0" w:noVBand="0"/>
      </w:tblPr>
      <w:tblGrid>
        <w:gridCol w:w="2175"/>
        <w:gridCol w:w="7323"/>
      </w:tblGrid>
      <w:tr w:rsidR="00224290" w:rsidTr="00AD7CC5">
        <w:trPr>
          <w:cantSplit/>
        </w:trPr>
        <w:tc>
          <w:tcPr>
            <w:tcW w:w="1145" w:type="pct"/>
            <w:tcBorders>
              <w:top w:val="double" w:sz="6" w:space="0" w:color="auto"/>
              <w:bottom w:val="double" w:sz="6" w:space="0" w:color="auto"/>
            </w:tcBorders>
            <w:shd w:val="pct70" w:color="FFFFFF" w:fill="C0C0C0"/>
          </w:tcPr>
          <w:p w:rsidR="00224290" w:rsidRDefault="00224290" w:rsidP="00AD7CC5">
            <w:pPr>
              <w:spacing w:before="120"/>
              <w:jc w:val="center"/>
              <w:rPr>
                <w:b/>
                <w:sz w:val="24"/>
              </w:rPr>
            </w:pPr>
            <w:r>
              <w:rPr>
                <w:b/>
                <w:sz w:val="24"/>
              </w:rPr>
              <w:t>EQUIPEMENT</w:t>
            </w:r>
          </w:p>
        </w:tc>
        <w:tc>
          <w:tcPr>
            <w:tcW w:w="3855" w:type="pct"/>
          </w:tcPr>
          <w:p w:rsidR="00224290" w:rsidRDefault="00224290" w:rsidP="00AD7CC5">
            <w:pPr>
              <w:pStyle w:val="Titre1"/>
            </w:pPr>
            <w:r>
              <w:t>RIDEAU D’EAU DE PLUIE</w:t>
            </w:r>
          </w:p>
        </w:tc>
      </w:tr>
    </w:tbl>
    <w:p w:rsidR="00224290" w:rsidRDefault="00224290" w:rsidP="00224290">
      <w:pPr>
        <w:ind w:firstLine="714"/>
        <w:jc w:val="center"/>
        <w:rPr>
          <w:rFonts w:asciiTheme="minorHAnsi" w:hAnsiTheme="minorHAnsi" w:cstheme="minorHAnsi"/>
          <w:sz w:val="36"/>
          <w:szCs w:val="36"/>
        </w:rPr>
      </w:pPr>
    </w:p>
    <w:p w:rsidR="00731C2E" w:rsidRPr="004A463A" w:rsidRDefault="00731C2E" w:rsidP="00731C2E">
      <w:pPr>
        <w:spacing w:before="120"/>
        <w:ind w:left="714"/>
        <w:rPr>
          <w:szCs w:val="24"/>
        </w:rPr>
      </w:pPr>
      <w:r w:rsidRPr="004A463A">
        <w:rPr>
          <w:szCs w:val="24"/>
        </w:rPr>
        <w:t>Les installations d</w:t>
      </w:r>
      <w:r>
        <w:rPr>
          <w:szCs w:val="24"/>
        </w:rPr>
        <w:t xml:space="preserve">’arrosage en pluie sont de type </w:t>
      </w:r>
      <w:r w:rsidRPr="004A463A">
        <w:rPr>
          <w:szCs w:val="24"/>
        </w:rPr>
        <w:t>rideau d’eau. Ce sont de petites installations raccordées directement sur le réseau d’eau du bâtiment concerné. Elles ne comprennent pas de réservoir, de pompes automatiques, de gong hydraulique… </w:t>
      </w:r>
    </w:p>
    <w:p w:rsidR="00731C2E" w:rsidRPr="004A463A" w:rsidRDefault="00731C2E" w:rsidP="00731C2E">
      <w:pPr>
        <w:spacing w:before="120"/>
        <w:ind w:left="714"/>
        <w:rPr>
          <w:szCs w:val="24"/>
        </w:rPr>
      </w:pPr>
      <w:r w:rsidRPr="004A463A">
        <w:rPr>
          <w:szCs w:val="24"/>
        </w:rPr>
        <w:t>La maintenance des installations d’arrosage en pluie et des rideaux d’eau est réalisée annuellement.</w:t>
      </w:r>
    </w:p>
    <w:p w:rsidR="00731C2E" w:rsidRPr="004A463A" w:rsidRDefault="00731C2E" w:rsidP="00731C2E">
      <w:pPr>
        <w:spacing w:before="120"/>
        <w:ind w:left="714"/>
        <w:rPr>
          <w:szCs w:val="24"/>
        </w:rPr>
      </w:pPr>
      <w:r w:rsidRPr="004A463A">
        <w:rPr>
          <w:szCs w:val="24"/>
        </w:rPr>
        <w:t>Les arrosages en pluie de type rideau d’eau peuvent nécessiter la mise en place d’un système d’accès en hauteur de type PIRL ou échafaudage mobile.</w:t>
      </w:r>
    </w:p>
    <w:p w:rsidR="00731C2E" w:rsidRPr="004A463A" w:rsidRDefault="00731C2E" w:rsidP="00731C2E">
      <w:pPr>
        <w:spacing w:before="120"/>
        <w:ind w:left="714"/>
        <w:rPr>
          <w:szCs w:val="24"/>
        </w:rPr>
      </w:pPr>
      <w:r w:rsidRPr="004A463A">
        <w:rPr>
          <w:szCs w:val="24"/>
        </w:rPr>
        <w:t>La maintenance des installations d’arrosage en pluie consiste à :</w:t>
      </w:r>
    </w:p>
    <w:p w:rsidR="00731C2E" w:rsidRPr="004A463A" w:rsidRDefault="00731C2E" w:rsidP="00731C2E">
      <w:pPr>
        <w:pStyle w:val="Paragraphedeliste"/>
        <w:numPr>
          <w:ilvl w:val="1"/>
          <w:numId w:val="20"/>
        </w:numPr>
        <w:suppressAutoHyphens/>
        <w:spacing w:before="120"/>
        <w:rPr>
          <w:szCs w:val="24"/>
        </w:rPr>
      </w:pPr>
      <w:r w:rsidRPr="004A463A">
        <w:rPr>
          <w:szCs w:val="24"/>
        </w:rPr>
        <w:t>Pour les rideaux d’eau :</w:t>
      </w:r>
    </w:p>
    <w:p w:rsidR="00731C2E" w:rsidRPr="00BF7A0D" w:rsidRDefault="00731C2E" w:rsidP="00731C2E">
      <w:pPr>
        <w:pStyle w:val="Paragraphedeliste"/>
        <w:numPr>
          <w:ilvl w:val="2"/>
          <w:numId w:val="20"/>
        </w:numPr>
        <w:suppressAutoHyphens/>
        <w:spacing w:before="120"/>
        <w:rPr>
          <w:szCs w:val="24"/>
        </w:rPr>
      </w:pPr>
      <w:r w:rsidRPr="00BF7A0D">
        <w:rPr>
          <w:szCs w:val="24"/>
        </w:rPr>
        <w:t>Contrôler le bon état général de l’installation ;</w:t>
      </w:r>
    </w:p>
    <w:p w:rsidR="00731C2E" w:rsidRDefault="00731C2E" w:rsidP="00731C2E">
      <w:pPr>
        <w:pStyle w:val="Paragraphedeliste"/>
        <w:numPr>
          <w:ilvl w:val="2"/>
          <w:numId w:val="20"/>
        </w:numPr>
        <w:suppressAutoHyphens/>
        <w:spacing w:before="120"/>
        <w:rPr>
          <w:szCs w:val="24"/>
        </w:rPr>
      </w:pPr>
      <w:r w:rsidRPr="00BF7A0D">
        <w:rPr>
          <w:szCs w:val="24"/>
        </w:rPr>
        <w:t xml:space="preserve">S’assurer </w:t>
      </w:r>
      <w:r>
        <w:rPr>
          <w:szCs w:val="24"/>
        </w:rPr>
        <w:t xml:space="preserve">que la vanne de tête et de la vanne </w:t>
      </w:r>
      <w:r w:rsidRPr="00BF7A0D">
        <w:rPr>
          <w:szCs w:val="24"/>
        </w:rPr>
        <w:t>d’alimentation</w:t>
      </w:r>
      <w:r>
        <w:rPr>
          <w:szCs w:val="24"/>
        </w:rPr>
        <w:t xml:space="preserve"> sont en ordre de marche</w:t>
      </w:r>
      <w:r w:rsidRPr="00BF7A0D">
        <w:rPr>
          <w:szCs w:val="24"/>
        </w:rPr>
        <w:t> ;</w:t>
      </w:r>
    </w:p>
    <w:p w:rsidR="00731C2E" w:rsidRPr="00BF7A0D" w:rsidRDefault="00731C2E" w:rsidP="00731C2E">
      <w:pPr>
        <w:pStyle w:val="Paragraphedeliste"/>
        <w:numPr>
          <w:ilvl w:val="2"/>
          <w:numId w:val="20"/>
        </w:numPr>
        <w:tabs>
          <w:tab w:val="clear" w:pos="2157"/>
        </w:tabs>
        <w:suppressAutoHyphens/>
        <w:spacing w:before="120"/>
        <w:rPr>
          <w:szCs w:val="24"/>
        </w:rPr>
      </w:pPr>
      <w:r>
        <w:rPr>
          <w:szCs w:val="24"/>
        </w:rPr>
        <w:t>Remise en place du plomb sur la vanne d’alimentation ;</w:t>
      </w:r>
    </w:p>
    <w:p w:rsidR="00731C2E" w:rsidRDefault="00731C2E" w:rsidP="00731C2E">
      <w:pPr>
        <w:pStyle w:val="Paragraphedeliste"/>
        <w:numPr>
          <w:ilvl w:val="2"/>
          <w:numId w:val="20"/>
        </w:numPr>
        <w:suppressAutoHyphens/>
        <w:spacing w:before="120"/>
        <w:rPr>
          <w:szCs w:val="24"/>
        </w:rPr>
      </w:pPr>
      <w:r w:rsidRPr="00BF7A0D">
        <w:rPr>
          <w:szCs w:val="24"/>
        </w:rPr>
        <w:t xml:space="preserve">S’assurer du libre débouché des orifices </w:t>
      </w:r>
      <w:r>
        <w:rPr>
          <w:szCs w:val="24"/>
        </w:rPr>
        <w:t>des rideaux d’eau par injection d’</w:t>
      </w:r>
      <w:r w:rsidRPr="00BF7A0D">
        <w:rPr>
          <w:szCs w:val="24"/>
        </w:rPr>
        <w:t>air comprimé</w:t>
      </w:r>
      <w:r>
        <w:rPr>
          <w:szCs w:val="24"/>
        </w:rPr>
        <w:t> dans le réseau.</w:t>
      </w:r>
    </w:p>
    <w:p w:rsidR="00731C2E" w:rsidRDefault="00731C2E" w:rsidP="00731C2E">
      <w:pPr>
        <w:pStyle w:val="Paragraphedeliste"/>
        <w:spacing w:before="120"/>
        <w:ind w:left="1437"/>
        <w:rPr>
          <w:szCs w:val="24"/>
        </w:rPr>
      </w:pPr>
    </w:p>
    <w:p w:rsidR="00731C2E" w:rsidRDefault="00731C2E" w:rsidP="00731C2E">
      <w:pPr>
        <w:pStyle w:val="Paragraphedeliste"/>
        <w:spacing w:before="120"/>
        <w:ind w:left="1560" w:hanging="843"/>
        <w:rPr>
          <w:szCs w:val="24"/>
        </w:rPr>
      </w:pPr>
      <w:r w:rsidRPr="00E2103D">
        <w:rPr>
          <w:b/>
          <w:szCs w:val="24"/>
          <w:u w:val="single"/>
        </w:rPr>
        <w:t>Nota :</w:t>
      </w:r>
      <w:r>
        <w:rPr>
          <w:szCs w:val="24"/>
        </w:rPr>
        <w:tab/>
        <w:t>L</w:t>
      </w:r>
      <w:r w:rsidRPr="00E2103D">
        <w:rPr>
          <w:szCs w:val="24"/>
        </w:rPr>
        <w:t>es vannes d’arrêt sont remplacées tous les 3 ans. La première opération de remplacement est réalisée durant la première année du marché</w:t>
      </w:r>
      <w:r>
        <w:rPr>
          <w:szCs w:val="24"/>
        </w:rPr>
        <w:t>, dans le cadre de la maintenance préventive. Le coût est intégré dans la prestation de maintenance préventive.</w:t>
      </w:r>
    </w:p>
    <w:p w:rsidR="00731C2E" w:rsidRDefault="00731C2E" w:rsidP="00224290">
      <w:pPr>
        <w:ind w:firstLine="714"/>
        <w:jc w:val="center"/>
        <w:rPr>
          <w:rFonts w:asciiTheme="minorHAnsi" w:hAnsiTheme="minorHAnsi" w:cstheme="minorHAnsi"/>
          <w:sz w:val="36"/>
          <w:szCs w:val="36"/>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5898"/>
        <w:gridCol w:w="513"/>
        <w:gridCol w:w="513"/>
        <w:gridCol w:w="513"/>
        <w:gridCol w:w="513"/>
        <w:gridCol w:w="513"/>
        <w:gridCol w:w="515"/>
        <w:gridCol w:w="520"/>
      </w:tblGrid>
      <w:tr w:rsidR="00224290" w:rsidTr="00AD7CC5">
        <w:tc>
          <w:tcPr>
            <w:tcW w:w="3105" w:type="pct"/>
            <w:tcBorders>
              <w:top w:val="single" w:sz="12" w:space="0" w:color="auto"/>
              <w:bottom w:val="single" w:sz="6" w:space="0" w:color="auto"/>
            </w:tcBorders>
            <w:shd w:val="pct50" w:color="FFFFFF" w:fill="C0C0C0"/>
          </w:tcPr>
          <w:p w:rsidR="00224290" w:rsidRPr="00731C2E" w:rsidRDefault="00224290" w:rsidP="00AD7CC5">
            <w:pPr>
              <w:jc w:val="center"/>
              <w:rPr>
                <w:rFonts w:asciiTheme="minorHAnsi" w:hAnsiTheme="minorHAnsi" w:cstheme="minorHAnsi"/>
                <w:b/>
                <w:lang w:val="en-GB"/>
              </w:rPr>
            </w:pPr>
            <w:r w:rsidRPr="00731C2E">
              <w:rPr>
                <w:rFonts w:asciiTheme="minorHAnsi" w:hAnsiTheme="minorHAnsi" w:cstheme="minorHAnsi"/>
                <w:b/>
                <w:lang w:val="en-GB"/>
              </w:rPr>
              <w:t>TACHES A REALISER</w:t>
            </w:r>
          </w:p>
        </w:tc>
        <w:tc>
          <w:tcPr>
            <w:tcW w:w="1895" w:type="pct"/>
            <w:gridSpan w:val="7"/>
            <w:tcBorders>
              <w:top w:val="single" w:sz="12" w:space="0" w:color="auto"/>
              <w:bottom w:val="single" w:sz="6" w:space="0" w:color="auto"/>
            </w:tcBorders>
            <w:shd w:val="pct50" w:color="FFFFFF" w:fill="C0C0C0"/>
          </w:tcPr>
          <w:p w:rsidR="00224290" w:rsidRPr="00731C2E" w:rsidRDefault="00224290" w:rsidP="00AD7CC5">
            <w:pPr>
              <w:jc w:val="center"/>
              <w:rPr>
                <w:rFonts w:asciiTheme="minorHAnsi" w:hAnsiTheme="minorHAnsi" w:cstheme="minorHAnsi"/>
                <w:b/>
              </w:rPr>
            </w:pPr>
            <w:r w:rsidRPr="00731C2E">
              <w:rPr>
                <w:rFonts w:asciiTheme="minorHAnsi" w:hAnsiTheme="minorHAnsi" w:cstheme="minorHAnsi"/>
                <w:b/>
              </w:rPr>
              <w:t>FREQUENCES</w:t>
            </w:r>
          </w:p>
        </w:tc>
      </w:tr>
      <w:tr w:rsidR="00224290" w:rsidTr="00AD7CC5">
        <w:tc>
          <w:tcPr>
            <w:tcW w:w="3105" w:type="pct"/>
            <w:tcBorders>
              <w:top w:val="single" w:sz="6" w:space="0" w:color="auto"/>
              <w:bottom w:val="single" w:sz="6" w:space="0" w:color="auto"/>
            </w:tcBorders>
            <w:shd w:val="pct50" w:color="FFFFFF" w:fill="C0C0C0"/>
          </w:tcPr>
          <w:p w:rsidR="00224290" w:rsidRPr="00731C2E" w:rsidRDefault="00224290" w:rsidP="00AD7CC5">
            <w:pPr>
              <w:jc w:val="center"/>
              <w:rPr>
                <w:rFonts w:asciiTheme="minorHAnsi" w:hAnsiTheme="minorHAnsi" w:cstheme="minorHAnsi"/>
                <w:b/>
              </w:rPr>
            </w:pPr>
          </w:p>
        </w:tc>
        <w:tc>
          <w:tcPr>
            <w:tcW w:w="270"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rPr>
            </w:pPr>
            <w:r w:rsidRPr="00731C2E">
              <w:rPr>
                <w:rFonts w:asciiTheme="minorHAnsi" w:hAnsiTheme="minorHAnsi" w:cstheme="minorHAnsi"/>
                <w:b/>
              </w:rPr>
              <w:t>J</w:t>
            </w:r>
          </w:p>
        </w:tc>
        <w:tc>
          <w:tcPr>
            <w:tcW w:w="270"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rPr>
            </w:pPr>
            <w:r w:rsidRPr="00731C2E">
              <w:rPr>
                <w:rFonts w:asciiTheme="minorHAnsi" w:hAnsiTheme="minorHAnsi" w:cstheme="minorHAnsi"/>
                <w:b/>
              </w:rPr>
              <w:t>H</w:t>
            </w:r>
          </w:p>
        </w:tc>
        <w:tc>
          <w:tcPr>
            <w:tcW w:w="270"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rPr>
            </w:pPr>
            <w:r w:rsidRPr="00731C2E">
              <w:rPr>
                <w:rFonts w:asciiTheme="minorHAnsi" w:hAnsiTheme="minorHAnsi" w:cstheme="minorHAnsi"/>
                <w:b/>
              </w:rPr>
              <w:t>M</w:t>
            </w:r>
          </w:p>
        </w:tc>
        <w:tc>
          <w:tcPr>
            <w:tcW w:w="270"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rPr>
            </w:pPr>
            <w:r w:rsidRPr="00731C2E">
              <w:rPr>
                <w:rFonts w:asciiTheme="minorHAnsi" w:hAnsiTheme="minorHAnsi" w:cstheme="minorHAnsi"/>
                <w:b/>
              </w:rPr>
              <w:t>T</w:t>
            </w:r>
          </w:p>
        </w:tc>
        <w:tc>
          <w:tcPr>
            <w:tcW w:w="270"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lang w:val="en-GB"/>
              </w:rPr>
            </w:pPr>
            <w:r w:rsidRPr="00731C2E">
              <w:rPr>
                <w:rFonts w:asciiTheme="minorHAnsi" w:hAnsiTheme="minorHAnsi" w:cstheme="minorHAnsi"/>
                <w:b/>
                <w:lang w:val="en-GB"/>
              </w:rPr>
              <w:t>S</w:t>
            </w:r>
          </w:p>
        </w:tc>
        <w:tc>
          <w:tcPr>
            <w:tcW w:w="271"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lang w:val="en-GB"/>
              </w:rPr>
            </w:pPr>
            <w:r w:rsidRPr="00731C2E">
              <w:rPr>
                <w:rFonts w:asciiTheme="minorHAnsi" w:hAnsiTheme="minorHAnsi" w:cstheme="minorHAnsi"/>
                <w:b/>
                <w:lang w:val="en-GB"/>
              </w:rPr>
              <w:t>A</w:t>
            </w:r>
          </w:p>
        </w:tc>
        <w:tc>
          <w:tcPr>
            <w:tcW w:w="272" w:type="pct"/>
            <w:tcBorders>
              <w:top w:val="single" w:sz="6" w:space="0" w:color="auto"/>
              <w:bottom w:val="single" w:sz="6" w:space="0" w:color="auto"/>
            </w:tcBorders>
            <w:shd w:val="pct50" w:color="FFFFFF" w:fill="C0C0C0"/>
          </w:tcPr>
          <w:p w:rsidR="00224290" w:rsidRPr="00731C2E" w:rsidRDefault="00224290" w:rsidP="00AD7CC5">
            <w:pPr>
              <w:spacing w:before="120"/>
              <w:jc w:val="center"/>
              <w:rPr>
                <w:rFonts w:asciiTheme="minorHAnsi" w:hAnsiTheme="minorHAnsi" w:cstheme="minorHAnsi"/>
                <w:b/>
                <w:lang w:val="en-GB"/>
              </w:rPr>
            </w:pPr>
            <w:r w:rsidRPr="00731C2E">
              <w:rPr>
                <w:rFonts w:asciiTheme="minorHAnsi" w:hAnsiTheme="minorHAnsi" w:cstheme="minorHAnsi"/>
                <w:b/>
                <w:lang w:val="en-GB"/>
              </w:rPr>
              <w:t>SB</w:t>
            </w: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Contrôle de la présence d’une signalisation</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Contrôle de l’état général de l’installation</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Contrôle de l’état des tuyauteries</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Contrôle du bon fonctionnement des robinets / vannes</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 xml:space="preserve">Contrôle du bon écoulement de l’eau par les trous / têtes de diffusion </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Contrôle de la présence d’un manomètre –Relevé de la pression indiquée</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 xml:space="preserve">Contrôle de l’absence de fuites – Resserrage des écrous si possible </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rPr>
              <w:t>Mise en eau dans le cadre du contrôle réglementaire</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rPr>
            </w:pPr>
            <w:r w:rsidRPr="00731C2E">
              <w:rPr>
                <w:rFonts w:asciiTheme="minorHAnsi" w:hAnsiTheme="minorHAnsi" w:cstheme="minorHAnsi"/>
                <w:color w:val="000000"/>
              </w:rPr>
              <w:t xml:space="preserve">Renseigner l’étiquette </w:t>
            </w:r>
            <w:r w:rsidRPr="00731C2E">
              <w:rPr>
                <w:rFonts w:asciiTheme="minorHAnsi" w:hAnsiTheme="minorHAnsi" w:cstheme="minorHAnsi"/>
              </w:rPr>
              <w:t>(date, nom, signature)</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color w:val="000000"/>
              </w:rPr>
            </w:pPr>
            <w:r w:rsidRPr="00731C2E">
              <w:rPr>
                <w:rFonts w:asciiTheme="minorHAnsi" w:hAnsiTheme="minorHAnsi" w:cstheme="minorHAnsi"/>
              </w:rPr>
              <w:t>Signature du registre de sécurité situé dans le bureau du chargé de prévention du site concerné</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color w:val="000000"/>
              </w:rPr>
            </w:pPr>
            <w:r w:rsidRPr="00731C2E">
              <w:rPr>
                <w:rFonts w:asciiTheme="minorHAnsi" w:hAnsiTheme="minorHAnsi" w:cstheme="minorHAnsi"/>
                <w:color w:val="000000"/>
              </w:rPr>
              <w:t xml:space="preserve">Rédaction d’un rapport détaillé faisant apparaître l’ensemble des </w:t>
            </w:r>
            <w:r w:rsidRPr="00731C2E">
              <w:rPr>
                <w:rFonts w:asciiTheme="minorHAnsi" w:hAnsiTheme="minorHAnsi" w:cstheme="minorHAnsi"/>
              </w:rPr>
              <w:t>mesures / vérifications et contrôles réalisés</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r w:rsidR="00224290" w:rsidTr="00AD7CC5">
        <w:tc>
          <w:tcPr>
            <w:tcW w:w="3105" w:type="pct"/>
          </w:tcPr>
          <w:p w:rsidR="00224290" w:rsidRPr="00731C2E" w:rsidRDefault="00224290" w:rsidP="00AD7CC5">
            <w:pPr>
              <w:spacing w:before="120"/>
              <w:rPr>
                <w:rFonts w:asciiTheme="minorHAnsi" w:hAnsiTheme="minorHAnsi" w:cstheme="minorHAnsi"/>
                <w:color w:val="000000"/>
              </w:rPr>
            </w:pPr>
            <w:r w:rsidRPr="00731C2E">
              <w:rPr>
                <w:rFonts w:asciiTheme="minorHAnsi" w:hAnsiTheme="minorHAnsi" w:cstheme="minorHAnsi"/>
                <w:color w:val="000000"/>
              </w:rPr>
              <w:t>Tout autre contrôle/vérification jugé nécessaire par le titulaire</w:t>
            </w: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0" w:type="pct"/>
          </w:tcPr>
          <w:p w:rsidR="00224290" w:rsidRPr="00731C2E" w:rsidRDefault="00224290" w:rsidP="00AD7CC5">
            <w:pPr>
              <w:spacing w:before="120"/>
              <w:jc w:val="center"/>
              <w:rPr>
                <w:rFonts w:asciiTheme="minorHAnsi" w:hAnsiTheme="minorHAnsi" w:cstheme="minorHAnsi"/>
              </w:rPr>
            </w:pPr>
          </w:p>
        </w:tc>
        <w:tc>
          <w:tcPr>
            <w:tcW w:w="271" w:type="pct"/>
          </w:tcPr>
          <w:p w:rsidR="00224290" w:rsidRPr="00731C2E" w:rsidRDefault="00224290" w:rsidP="00AD7CC5">
            <w:pPr>
              <w:spacing w:before="120"/>
              <w:jc w:val="center"/>
              <w:rPr>
                <w:rFonts w:asciiTheme="minorHAnsi" w:hAnsiTheme="minorHAnsi" w:cstheme="minorHAnsi"/>
              </w:rPr>
            </w:pPr>
            <w:r w:rsidRPr="00731C2E">
              <w:rPr>
                <w:rFonts w:asciiTheme="minorHAnsi" w:hAnsiTheme="minorHAnsi" w:cstheme="minorHAnsi"/>
              </w:rPr>
              <w:t>X</w:t>
            </w:r>
          </w:p>
        </w:tc>
        <w:tc>
          <w:tcPr>
            <w:tcW w:w="272" w:type="pct"/>
          </w:tcPr>
          <w:p w:rsidR="00224290" w:rsidRPr="00731C2E" w:rsidRDefault="00224290" w:rsidP="00AD7CC5">
            <w:pPr>
              <w:spacing w:before="120"/>
              <w:jc w:val="center"/>
              <w:rPr>
                <w:rFonts w:asciiTheme="minorHAnsi" w:hAnsiTheme="minorHAnsi" w:cstheme="minorHAnsi"/>
              </w:rPr>
            </w:pPr>
          </w:p>
        </w:tc>
      </w:tr>
    </w:tbl>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p w:rsidR="00224290" w:rsidRDefault="00224290" w:rsidP="00224290">
      <w:pPr>
        <w:ind w:firstLine="714"/>
        <w:jc w:val="center"/>
        <w:rPr>
          <w:rFonts w:asciiTheme="minorHAnsi" w:hAnsiTheme="minorHAnsi" w:cstheme="minorHAnsi"/>
          <w:sz w:val="36"/>
          <w:szCs w:val="36"/>
        </w:rPr>
      </w:pPr>
    </w:p>
    <w:tbl>
      <w:tblPr>
        <w:tblW w:w="5000" w:type="pct"/>
        <w:tblBorders>
          <w:top w:val="double" w:sz="6" w:space="0" w:color="auto"/>
          <w:left w:val="double" w:sz="6" w:space="0" w:color="auto"/>
          <w:bottom w:val="double" w:sz="6" w:space="0" w:color="auto"/>
          <w:right w:val="double" w:sz="6" w:space="0" w:color="auto"/>
          <w:insideV w:val="double" w:sz="6" w:space="0" w:color="auto"/>
        </w:tblBorders>
        <w:tblCellMar>
          <w:left w:w="71" w:type="dxa"/>
          <w:right w:w="71" w:type="dxa"/>
        </w:tblCellMar>
        <w:tblLook w:val="0000" w:firstRow="0" w:lastRow="0" w:firstColumn="0" w:lastColumn="0" w:noHBand="0" w:noVBand="0"/>
      </w:tblPr>
      <w:tblGrid>
        <w:gridCol w:w="2175"/>
        <w:gridCol w:w="7323"/>
      </w:tblGrid>
      <w:tr w:rsidR="00224290" w:rsidTr="00AD7CC5">
        <w:trPr>
          <w:cantSplit/>
        </w:trPr>
        <w:tc>
          <w:tcPr>
            <w:tcW w:w="1145" w:type="pct"/>
            <w:tcBorders>
              <w:top w:val="double" w:sz="6" w:space="0" w:color="auto"/>
              <w:bottom w:val="double" w:sz="6" w:space="0" w:color="auto"/>
            </w:tcBorders>
            <w:shd w:val="pct70" w:color="FFFFFF" w:fill="C0C0C0"/>
          </w:tcPr>
          <w:p w:rsidR="00224290" w:rsidRDefault="00224290" w:rsidP="00AD7CC5">
            <w:pPr>
              <w:spacing w:before="120"/>
              <w:jc w:val="center"/>
              <w:rPr>
                <w:b/>
                <w:sz w:val="24"/>
              </w:rPr>
            </w:pPr>
            <w:r>
              <w:rPr>
                <w:b/>
                <w:sz w:val="24"/>
              </w:rPr>
              <w:t>EQUIPEMENT</w:t>
            </w:r>
          </w:p>
        </w:tc>
        <w:tc>
          <w:tcPr>
            <w:tcW w:w="3855" w:type="pct"/>
          </w:tcPr>
          <w:p w:rsidR="00224290" w:rsidRDefault="00224290" w:rsidP="00AD7CC5">
            <w:pPr>
              <w:pStyle w:val="Titre1"/>
            </w:pPr>
            <w:bookmarkStart w:id="20" w:name="_Toc89750204"/>
            <w:r>
              <w:t>COLONNE SECHE</w:t>
            </w:r>
            <w:bookmarkEnd w:id="20"/>
          </w:p>
        </w:tc>
      </w:tr>
    </w:tbl>
    <w:p w:rsidR="00224290" w:rsidRDefault="00224290" w:rsidP="00224290">
      <w:pPr>
        <w:ind w:firstLine="714"/>
        <w:jc w:val="center"/>
        <w:rPr>
          <w:rFonts w:asciiTheme="minorHAnsi" w:hAnsiTheme="minorHAnsi" w:cstheme="minorHAnsi"/>
          <w:sz w:val="36"/>
          <w:szCs w:val="36"/>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5901"/>
        <w:gridCol w:w="513"/>
        <w:gridCol w:w="513"/>
        <w:gridCol w:w="513"/>
        <w:gridCol w:w="513"/>
        <w:gridCol w:w="513"/>
        <w:gridCol w:w="515"/>
        <w:gridCol w:w="517"/>
      </w:tblGrid>
      <w:tr w:rsidR="00224290" w:rsidTr="00AD7CC5">
        <w:tc>
          <w:tcPr>
            <w:tcW w:w="3107" w:type="pct"/>
            <w:tcBorders>
              <w:top w:val="single" w:sz="12" w:space="0" w:color="auto"/>
              <w:bottom w:val="single" w:sz="6" w:space="0" w:color="auto"/>
            </w:tcBorders>
            <w:shd w:val="pct50" w:color="FFFFFF" w:fill="C0C0C0"/>
          </w:tcPr>
          <w:p w:rsidR="00224290" w:rsidRDefault="00224290" w:rsidP="00AD7CC5">
            <w:pPr>
              <w:jc w:val="center"/>
              <w:rPr>
                <w:b/>
                <w:lang w:val="en-GB"/>
              </w:rPr>
            </w:pPr>
            <w:r>
              <w:rPr>
                <w:b/>
                <w:lang w:val="en-GB"/>
              </w:rPr>
              <w:t>TACHES A REALISER</w:t>
            </w:r>
          </w:p>
        </w:tc>
        <w:tc>
          <w:tcPr>
            <w:tcW w:w="1893" w:type="pct"/>
            <w:gridSpan w:val="7"/>
            <w:tcBorders>
              <w:top w:val="single" w:sz="12" w:space="0" w:color="auto"/>
              <w:bottom w:val="single" w:sz="6" w:space="0" w:color="auto"/>
            </w:tcBorders>
            <w:shd w:val="pct50" w:color="FFFFFF" w:fill="C0C0C0"/>
          </w:tcPr>
          <w:p w:rsidR="00224290" w:rsidRDefault="00224290" w:rsidP="00AD7CC5">
            <w:pPr>
              <w:jc w:val="center"/>
              <w:rPr>
                <w:b/>
                <w:sz w:val="18"/>
              </w:rPr>
            </w:pPr>
            <w:r>
              <w:rPr>
                <w:b/>
                <w:sz w:val="18"/>
              </w:rPr>
              <w:t>FREQUENCES</w:t>
            </w:r>
          </w:p>
        </w:tc>
      </w:tr>
      <w:tr w:rsidR="00224290" w:rsidTr="00AD7CC5">
        <w:tc>
          <w:tcPr>
            <w:tcW w:w="3107" w:type="pct"/>
            <w:tcBorders>
              <w:top w:val="single" w:sz="6" w:space="0" w:color="auto"/>
              <w:bottom w:val="single" w:sz="6" w:space="0" w:color="auto"/>
            </w:tcBorders>
            <w:shd w:val="pct50" w:color="FFFFFF" w:fill="C0C0C0"/>
          </w:tcPr>
          <w:p w:rsidR="00224290" w:rsidRDefault="00224290" w:rsidP="00AD7CC5">
            <w:pPr>
              <w:jc w:val="center"/>
              <w:rPr>
                <w:b/>
              </w:rPr>
            </w:pP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J</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H</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M</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rPr>
            </w:pPr>
            <w:r>
              <w:rPr>
                <w:b/>
                <w:sz w:val="18"/>
              </w:rPr>
              <w:t>T</w:t>
            </w:r>
          </w:p>
        </w:tc>
        <w:tc>
          <w:tcPr>
            <w:tcW w:w="270"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S</w:t>
            </w:r>
          </w:p>
        </w:tc>
        <w:tc>
          <w:tcPr>
            <w:tcW w:w="271"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A</w:t>
            </w:r>
          </w:p>
        </w:tc>
        <w:tc>
          <w:tcPr>
            <w:tcW w:w="273" w:type="pct"/>
            <w:tcBorders>
              <w:top w:val="single" w:sz="6" w:space="0" w:color="auto"/>
              <w:bottom w:val="single" w:sz="6" w:space="0" w:color="auto"/>
            </w:tcBorders>
            <w:shd w:val="pct50" w:color="FFFFFF" w:fill="C0C0C0"/>
          </w:tcPr>
          <w:p w:rsidR="00224290" w:rsidRDefault="00224290" w:rsidP="00AD7CC5">
            <w:pPr>
              <w:spacing w:before="120"/>
              <w:jc w:val="center"/>
              <w:rPr>
                <w:b/>
                <w:sz w:val="18"/>
                <w:lang w:val="en-GB"/>
              </w:rPr>
            </w:pPr>
            <w:r>
              <w:rPr>
                <w:b/>
                <w:sz w:val="18"/>
                <w:lang w:val="en-GB"/>
              </w:rPr>
              <w:t>SB</w:t>
            </w:r>
          </w:p>
        </w:tc>
      </w:tr>
      <w:tr w:rsidR="00224290" w:rsidTr="00AD7CC5">
        <w:tc>
          <w:tcPr>
            <w:tcW w:w="3107" w:type="pct"/>
          </w:tcPr>
          <w:p w:rsidR="00224290" w:rsidRDefault="00224290" w:rsidP="00AD7CC5">
            <w:pPr>
              <w:spacing w:before="120"/>
            </w:pPr>
            <w:r>
              <w:t>Contrôle de l’existence des bouchons de fermeture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de la présence d’une signalisation</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de l’accès aux raccords d’alimentation et aux prises d’incendie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du bon état général de l’installation</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de l’état du revêtement extérieur</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de l’absence de corps étrangers dans la colonne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Contrôle du fonctionnement de la robinetterie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t>Mise en eau dans le cadre du contrôle réglementaire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pPr>
            <w:r>
              <w:rPr>
                <w:rFonts w:ascii="Times New Roman" w:hAnsi="Times New Roman"/>
                <w:color w:val="000000"/>
                <w:sz w:val="24"/>
                <w:szCs w:val="24"/>
              </w:rPr>
              <w:t xml:space="preserve">Renseigner l’étiquette </w:t>
            </w:r>
            <w:r>
              <w:t>(date, nom, signature)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rPr>
                <w:rFonts w:ascii="Times New Roman" w:hAnsi="Times New Roman"/>
                <w:color w:val="000000"/>
                <w:sz w:val="24"/>
                <w:szCs w:val="24"/>
              </w:rPr>
            </w:pPr>
            <w:r>
              <w:rPr>
                <w:rFonts w:ascii="Times New Roman" w:hAnsi="Times New Roman"/>
              </w:rPr>
              <w:t>Signature du registre de sécurité situé dans le bureau du chargé de prévention du site concerné</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rPr>
                <w:rFonts w:ascii="Times New Roman" w:hAnsi="Times New Roman"/>
                <w:color w:val="000000"/>
                <w:sz w:val="24"/>
                <w:szCs w:val="24"/>
              </w:rPr>
            </w:pPr>
            <w:r>
              <w:rPr>
                <w:rFonts w:ascii="Times New Roman" w:hAnsi="Times New Roman"/>
                <w:color w:val="000000"/>
                <w:sz w:val="24"/>
                <w:szCs w:val="24"/>
              </w:rPr>
              <w:t xml:space="preserve">Rédaction d’un rapport détaillé faisant apparaître l’ensemble des </w:t>
            </w:r>
            <w:r>
              <w:rPr>
                <w:rFonts w:ascii="Times New Roman" w:hAnsi="Times New Roman"/>
              </w:rPr>
              <w:t>mesures / vérifications et contrôles réalisés</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r w:rsidR="00224290" w:rsidTr="00AD7CC5">
        <w:tc>
          <w:tcPr>
            <w:tcW w:w="3107" w:type="pct"/>
          </w:tcPr>
          <w:p w:rsidR="00224290" w:rsidRDefault="00224290" w:rsidP="00AD7CC5">
            <w:pPr>
              <w:spacing w:before="120"/>
              <w:rPr>
                <w:rFonts w:ascii="Times New Roman" w:hAnsi="Times New Roman"/>
                <w:color w:val="000000"/>
                <w:sz w:val="24"/>
                <w:szCs w:val="24"/>
              </w:rPr>
            </w:pPr>
            <w:r>
              <w:rPr>
                <w:rFonts w:ascii="Times New Roman" w:hAnsi="Times New Roman"/>
                <w:color w:val="000000"/>
                <w:sz w:val="24"/>
                <w:szCs w:val="24"/>
              </w:rPr>
              <w:t>Tout autre contrôle/vérification jugé nécessaire par le titulaire</w:t>
            </w: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0" w:type="pct"/>
          </w:tcPr>
          <w:p w:rsidR="00224290" w:rsidRDefault="00224290" w:rsidP="00AD7CC5">
            <w:pPr>
              <w:spacing w:before="120"/>
              <w:jc w:val="center"/>
              <w:rPr>
                <w:sz w:val="18"/>
              </w:rPr>
            </w:pPr>
          </w:p>
        </w:tc>
        <w:tc>
          <w:tcPr>
            <w:tcW w:w="271" w:type="pct"/>
          </w:tcPr>
          <w:p w:rsidR="00224290" w:rsidRDefault="00224290" w:rsidP="00AD7CC5">
            <w:pPr>
              <w:spacing w:before="120"/>
              <w:jc w:val="center"/>
              <w:rPr>
                <w:sz w:val="18"/>
              </w:rPr>
            </w:pPr>
            <w:r>
              <w:rPr>
                <w:sz w:val="18"/>
              </w:rPr>
              <w:t>X</w:t>
            </w:r>
          </w:p>
        </w:tc>
        <w:tc>
          <w:tcPr>
            <w:tcW w:w="273" w:type="pct"/>
          </w:tcPr>
          <w:p w:rsidR="00224290" w:rsidRDefault="00224290" w:rsidP="00AD7CC5">
            <w:pPr>
              <w:spacing w:before="120"/>
              <w:jc w:val="center"/>
              <w:rPr>
                <w:sz w:val="18"/>
              </w:rPr>
            </w:pPr>
          </w:p>
        </w:tc>
      </w:tr>
    </w:tbl>
    <w:p w:rsidR="00224290" w:rsidRDefault="00224290" w:rsidP="00224290">
      <w:pPr>
        <w:ind w:firstLine="714"/>
        <w:jc w:val="center"/>
        <w:rPr>
          <w:rFonts w:asciiTheme="minorHAnsi" w:hAnsiTheme="minorHAnsi" w:cstheme="minorHAnsi"/>
          <w:sz w:val="36"/>
          <w:szCs w:val="36"/>
        </w:rPr>
      </w:pPr>
    </w:p>
    <w:p w:rsidR="00A821FE" w:rsidRPr="00224290" w:rsidRDefault="00A821FE" w:rsidP="00224290">
      <w:pPr>
        <w:ind w:firstLine="714"/>
        <w:jc w:val="center"/>
        <w:rPr>
          <w:rFonts w:asciiTheme="minorHAnsi" w:hAnsiTheme="minorHAnsi" w:cstheme="minorHAnsi"/>
          <w:sz w:val="36"/>
          <w:szCs w:val="36"/>
        </w:rPr>
      </w:pPr>
    </w:p>
    <w:sectPr w:rsidR="00A821FE" w:rsidRPr="00224290" w:rsidSect="00AB497E">
      <w:headerReference w:type="default" r:id="rId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BEF" w:rsidRDefault="00883BEF">
      <w:pPr>
        <w:spacing w:after="0"/>
      </w:pPr>
      <w:r>
        <w:separator/>
      </w:r>
    </w:p>
  </w:endnote>
  <w:endnote w:type="continuationSeparator" w:id="0">
    <w:p w:rsidR="00883BEF" w:rsidRDefault="00883B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BEF" w:rsidRDefault="00883BEF">
      <w:pPr>
        <w:spacing w:after="0"/>
      </w:pPr>
      <w:r>
        <w:separator/>
      </w:r>
    </w:p>
  </w:footnote>
  <w:footnote w:type="continuationSeparator" w:id="0">
    <w:p w:rsidR="00883BEF" w:rsidRDefault="00883BE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68" w:rsidRDefault="001E2225" w:rsidP="00F70268">
    <w:pPr>
      <w:pStyle w:val="En-tte"/>
      <w:tabs>
        <w:tab w:val="clear" w:pos="4536"/>
        <w:tab w:val="center" w:pos="-7088"/>
        <w:tab w:val="right" w:pos="284"/>
        <w:tab w:val="center" w:pos="4678"/>
      </w:tabs>
      <w:rPr>
        <w:b/>
      </w:rPr>
    </w:pPr>
    <w:r>
      <w:rPr>
        <w:b/>
      </w:rPr>
      <w:tab/>
    </w:r>
    <w:r>
      <w:rPr>
        <w:b/>
      </w:rPr>
      <w:tab/>
    </w:r>
  </w:p>
  <w:p w:rsidR="00F70268" w:rsidRPr="00D34614" w:rsidRDefault="001E2225" w:rsidP="00F70268">
    <w:pPr>
      <w:pStyle w:val="En-tte"/>
      <w:tabs>
        <w:tab w:val="clear" w:pos="4536"/>
        <w:tab w:val="center" w:pos="-7088"/>
        <w:tab w:val="right" w:pos="284"/>
        <w:tab w:val="center" w:pos="4678"/>
      </w:tabs>
      <w:rPr>
        <w:b/>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2"/>
    <w:lvl w:ilvl="0">
      <w:start w:val="1"/>
      <w:numFmt w:val="bullet"/>
      <w:lvlText w:val=""/>
      <w:lvlJc w:val="left"/>
      <w:pPr>
        <w:tabs>
          <w:tab w:val="num" w:pos="717"/>
        </w:tabs>
        <w:ind w:left="717" w:hanging="360"/>
      </w:pPr>
      <w:rPr>
        <w:rFonts w:ascii="Wingdings" w:hAnsi="Wingdings" w:cs="Wingdings"/>
        <w:color w:val="000000"/>
        <w:sz w:val="22"/>
      </w:rPr>
    </w:lvl>
    <w:lvl w:ilvl="1">
      <w:start w:val="1"/>
      <w:numFmt w:val="bullet"/>
      <w:lvlText w:val="-"/>
      <w:lvlJc w:val="left"/>
      <w:pPr>
        <w:tabs>
          <w:tab w:val="num" w:pos="1437"/>
        </w:tabs>
        <w:ind w:left="1437" w:hanging="360"/>
      </w:pPr>
      <w:rPr>
        <w:rFonts w:ascii="Times New Roman" w:hAnsi="Times New Roman" w:cs="Times New Roman"/>
      </w:rPr>
    </w:lvl>
    <w:lvl w:ilvl="2">
      <w:start w:val="1"/>
      <w:numFmt w:val="bullet"/>
      <w:lvlText w:val=""/>
      <w:lvlJc w:val="left"/>
      <w:pPr>
        <w:tabs>
          <w:tab w:val="num" w:pos="2157"/>
        </w:tabs>
        <w:ind w:left="2157" w:hanging="360"/>
      </w:pPr>
      <w:rPr>
        <w:rFonts w:ascii="Wingdings" w:hAnsi="Wingdings" w:cs="Wingdings"/>
        <w:sz w:val="22"/>
        <w:szCs w:val="22"/>
      </w:rPr>
    </w:lvl>
    <w:lvl w:ilvl="3">
      <w:start w:val="1"/>
      <w:numFmt w:val="bullet"/>
      <w:lvlText w:val=""/>
      <w:lvlJc w:val="left"/>
      <w:pPr>
        <w:tabs>
          <w:tab w:val="num" w:pos="2877"/>
        </w:tabs>
        <w:ind w:left="2877" w:hanging="360"/>
      </w:pPr>
      <w:rPr>
        <w:rFonts w:ascii="Symbol" w:hAnsi="Symbol" w:cs="Symbol"/>
      </w:rPr>
    </w:lvl>
    <w:lvl w:ilvl="4">
      <w:start w:val="1"/>
      <w:numFmt w:val="bullet"/>
      <w:lvlText w:val="o"/>
      <w:lvlJc w:val="left"/>
      <w:pPr>
        <w:tabs>
          <w:tab w:val="num" w:pos="3597"/>
        </w:tabs>
        <w:ind w:left="3597" w:hanging="360"/>
      </w:pPr>
      <w:rPr>
        <w:rFonts w:ascii="Courier New" w:hAnsi="Courier New" w:cs="Courier New"/>
      </w:rPr>
    </w:lvl>
    <w:lvl w:ilvl="5">
      <w:start w:val="1"/>
      <w:numFmt w:val="bullet"/>
      <w:lvlText w:val=""/>
      <w:lvlJc w:val="left"/>
      <w:pPr>
        <w:tabs>
          <w:tab w:val="num" w:pos="4317"/>
        </w:tabs>
        <w:ind w:left="4317" w:hanging="360"/>
      </w:pPr>
      <w:rPr>
        <w:rFonts w:ascii="Wingdings" w:hAnsi="Wingdings" w:cs="Wingdings"/>
        <w:sz w:val="22"/>
        <w:szCs w:val="22"/>
      </w:rPr>
    </w:lvl>
    <w:lvl w:ilvl="6">
      <w:start w:val="1"/>
      <w:numFmt w:val="bullet"/>
      <w:lvlText w:val=""/>
      <w:lvlJc w:val="left"/>
      <w:pPr>
        <w:tabs>
          <w:tab w:val="num" w:pos="5037"/>
        </w:tabs>
        <w:ind w:left="5037" w:hanging="360"/>
      </w:pPr>
      <w:rPr>
        <w:rFonts w:ascii="Symbol" w:hAnsi="Symbol" w:cs="Symbol"/>
      </w:rPr>
    </w:lvl>
    <w:lvl w:ilvl="7">
      <w:start w:val="1"/>
      <w:numFmt w:val="bullet"/>
      <w:lvlText w:val="o"/>
      <w:lvlJc w:val="left"/>
      <w:pPr>
        <w:tabs>
          <w:tab w:val="num" w:pos="5757"/>
        </w:tabs>
        <w:ind w:left="5757" w:hanging="360"/>
      </w:pPr>
      <w:rPr>
        <w:rFonts w:ascii="Courier New" w:hAnsi="Courier New" w:cs="Courier New"/>
      </w:rPr>
    </w:lvl>
    <w:lvl w:ilvl="8">
      <w:start w:val="1"/>
      <w:numFmt w:val="bullet"/>
      <w:lvlText w:val=""/>
      <w:lvlJc w:val="left"/>
      <w:pPr>
        <w:tabs>
          <w:tab w:val="num" w:pos="6477"/>
        </w:tabs>
        <w:ind w:left="6477" w:hanging="360"/>
      </w:pPr>
      <w:rPr>
        <w:rFonts w:ascii="Wingdings" w:hAnsi="Wingdings" w:cs="Wingdings"/>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17"/>
        </w:tabs>
        <w:ind w:left="717" w:hanging="360"/>
      </w:pPr>
      <w:rPr>
        <w:rFonts w:ascii="Wingdings" w:hAnsi="Wingdings" w:cs="Wingdings"/>
      </w:rPr>
    </w:lvl>
    <w:lvl w:ilvl="1">
      <w:start w:val="1"/>
      <w:numFmt w:val="bullet"/>
      <w:lvlText w:val="-"/>
      <w:lvlJc w:val="left"/>
      <w:pPr>
        <w:tabs>
          <w:tab w:val="num" w:pos="1437"/>
        </w:tabs>
        <w:ind w:left="1437" w:hanging="360"/>
      </w:pPr>
      <w:rPr>
        <w:rFonts w:ascii="Times New Roman" w:hAnsi="Times New Roman" w:cs="Times New Roman"/>
        <w:color w:val="000000"/>
        <w:sz w:val="22"/>
      </w:rPr>
    </w:lvl>
    <w:lvl w:ilvl="2">
      <w:start w:val="1"/>
      <w:numFmt w:val="bullet"/>
      <w:lvlText w:val=""/>
      <w:lvlJc w:val="left"/>
      <w:pPr>
        <w:tabs>
          <w:tab w:val="num" w:pos="2157"/>
        </w:tabs>
        <w:ind w:left="2157" w:hanging="360"/>
      </w:pPr>
      <w:rPr>
        <w:rFonts w:ascii="Wingdings" w:hAnsi="Wingdings" w:cs="Wingdings"/>
      </w:rPr>
    </w:lvl>
    <w:lvl w:ilvl="3">
      <w:start w:val="1"/>
      <w:numFmt w:val="bullet"/>
      <w:lvlText w:val=""/>
      <w:lvlJc w:val="left"/>
      <w:pPr>
        <w:tabs>
          <w:tab w:val="num" w:pos="2877"/>
        </w:tabs>
        <w:ind w:left="2877" w:hanging="360"/>
      </w:pPr>
      <w:rPr>
        <w:rFonts w:ascii="Symbol" w:hAnsi="Symbol" w:cs="Symbol"/>
      </w:rPr>
    </w:lvl>
    <w:lvl w:ilvl="4">
      <w:start w:val="1"/>
      <w:numFmt w:val="bullet"/>
      <w:lvlText w:val="o"/>
      <w:lvlJc w:val="left"/>
      <w:pPr>
        <w:tabs>
          <w:tab w:val="num" w:pos="3597"/>
        </w:tabs>
        <w:ind w:left="3597" w:hanging="360"/>
      </w:pPr>
      <w:rPr>
        <w:rFonts w:ascii="Courier New" w:hAnsi="Courier New" w:cs="Courier New"/>
      </w:rPr>
    </w:lvl>
    <w:lvl w:ilvl="5">
      <w:start w:val="1"/>
      <w:numFmt w:val="bullet"/>
      <w:lvlText w:val=""/>
      <w:lvlJc w:val="left"/>
      <w:pPr>
        <w:tabs>
          <w:tab w:val="num" w:pos="4317"/>
        </w:tabs>
        <w:ind w:left="4317" w:hanging="360"/>
      </w:pPr>
      <w:rPr>
        <w:rFonts w:ascii="Wingdings" w:hAnsi="Wingdings" w:cs="Wingdings"/>
      </w:rPr>
    </w:lvl>
    <w:lvl w:ilvl="6">
      <w:start w:val="1"/>
      <w:numFmt w:val="bullet"/>
      <w:lvlText w:val=""/>
      <w:lvlJc w:val="left"/>
      <w:pPr>
        <w:tabs>
          <w:tab w:val="num" w:pos="5037"/>
        </w:tabs>
        <w:ind w:left="5037" w:hanging="360"/>
      </w:pPr>
      <w:rPr>
        <w:rFonts w:ascii="Symbol" w:hAnsi="Symbol" w:cs="Symbol"/>
      </w:rPr>
    </w:lvl>
    <w:lvl w:ilvl="7">
      <w:start w:val="1"/>
      <w:numFmt w:val="bullet"/>
      <w:lvlText w:val="o"/>
      <w:lvlJc w:val="left"/>
      <w:pPr>
        <w:tabs>
          <w:tab w:val="num" w:pos="5757"/>
        </w:tabs>
        <w:ind w:left="5757" w:hanging="360"/>
      </w:pPr>
      <w:rPr>
        <w:rFonts w:ascii="Courier New" w:hAnsi="Courier New" w:cs="Courier New"/>
      </w:rPr>
    </w:lvl>
    <w:lvl w:ilvl="8">
      <w:start w:val="1"/>
      <w:numFmt w:val="bullet"/>
      <w:lvlText w:val=""/>
      <w:lvlJc w:val="left"/>
      <w:pPr>
        <w:tabs>
          <w:tab w:val="num" w:pos="6477"/>
        </w:tabs>
        <w:ind w:left="6477" w:hanging="360"/>
      </w:pPr>
      <w:rPr>
        <w:rFonts w:ascii="Wingdings" w:hAnsi="Wingdings" w:cs="Wingdings"/>
      </w:rPr>
    </w:lvl>
  </w:abstractNum>
  <w:abstractNum w:abstractNumId="2" w15:restartNumberingAfterBreak="0">
    <w:nsid w:val="06A50F94"/>
    <w:multiLevelType w:val="multilevel"/>
    <w:tmpl w:val="BC04585C"/>
    <w:lvl w:ilvl="0">
      <w:start w:val="1"/>
      <w:numFmt w:val="bullet"/>
      <w:lvlText w:val=""/>
      <w:lvlJc w:val="left"/>
      <w:pPr>
        <w:tabs>
          <w:tab w:val="num" w:pos="717"/>
        </w:tabs>
        <w:ind w:left="717" w:hanging="360"/>
      </w:pPr>
      <w:rPr>
        <w:rFonts w:ascii="Wingdings" w:hAnsi="Wingdings" w:hint="default"/>
        <w:color w:val="000000"/>
        <w:sz w:val="22"/>
      </w:rPr>
    </w:lvl>
    <w:lvl w:ilvl="1">
      <w:start w:val="1"/>
      <w:numFmt w:val="bullet"/>
      <w:lvlText w:val="-"/>
      <w:lvlJc w:val="left"/>
      <w:pPr>
        <w:tabs>
          <w:tab w:val="num" w:pos="1437"/>
        </w:tabs>
        <w:ind w:left="1437" w:hanging="360"/>
      </w:pPr>
      <w:rPr>
        <w:rFonts w:ascii="Times New Roman" w:hAnsi="Times New Roman" w:cs="Times New Roman"/>
      </w:rPr>
    </w:lvl>
    <w:lvl w:ilvl="2">
      <w:start w:val="1"/>
      <w:numFmt w:val="bullet"/>
      <w:lvlText w:val=""/>
      <w:lvlJc w:val="left"/>
      <w:pPr>
        <w:tabs>
          <w:tab w:val="num" w:pos="2157"/>
        </w:tabs>
        <w:ind w:left="2157" w:hanging="360"/>
      </w:pPr>
      <w:rPr>
        <w:rFonts w:ascii="Wingdings" w:hAnsi="Wingdings" w:cs="Wingdings"/>
        <w:sz w:val="22"/>
        <w:szCs w:val="22"/>
      </w:rPr>
    </w:lvl>
    <w:lvl w:ilvl="3">
      <w:start w:val="1"/>
      <w:numFmt w:val="bullet"/>
      <w:lvlText w:val=""/>
      <w:lvlJc w:val="left"/>
      <w:pPr>
        <w:tabs>
          <w:tab w:val="num" w:pos="2877"/>
        </w:tabs>
        <w:ind w:left="2877" w:hanging="360"/>
      </w:pPr>
      <w:rPr>
        <w:rFonts w:ascii="Symbol" w:hAnsi="Symbol" w:cs="Symbol"/>
      </w:rPr>
    </w:lvl>
    <w:lvl w:ilvl="4">
      <w:start w:val="1"/>
      <w:numFmt w:val="bullet"/>
      <w:lvlText w:val="o"/>
      <w:lvlJc w:val="left"/>
      <w:pPr>
        <w:tabs>
          <w:tab w:val="num" w:pos="3597"/>
        </w:tabs>
        <w:ind w:left="3597" w:hanging="360"/>
      </w:pPr>
      <w:rPr>
        <w:rFonts w:ascii="Courier New" w:hAnsi="Courier New" w:cs="Courier New"/>
      </w:rPr>
    </w:lvl>
    <w:lvl w:ilvl="5">
      <w:start w:val="1"/>
      <w:numFmt w:val="bullet"/>
      <w:lvlText w:val=""/>
      <w:lvlJc w:val="left"/>
      <w:pPr>
        <w:tabs>
          <w:tab w:val="num" w:pos="4317"/>
        </w:tabs>
        <w:ind w:left="4317" w:hanging="360"/>
      </w:pPr>
      <w:rPr>
        <w:rFonts w:ascii="Wingdings" w:hAnsi="Wingdings" w:cs="Wingdings"/>
        <w:sz w:val="22"/>
        <w:szCs w:val="22"/>
      </w:rPr>
    </w:lvl>
    <w:lvl w:ilvl="6">
      <w:start w:val="1"/>
      <w:numFmt w:val="bullet"/>
      <w:lvlText w:val=""/>
      <w:lvlJc w:val="left"/>
      <w:pPr>
        <w:tabs>
          <w:tab w:val="num" w:pos="5037"/>
        </w:tabs>
        <w:ind w:left="5037" w:hanging="360"/>
      </w:pPr>
      <w:rPr>
        <w:rFonts w:ascii="Symbol" w:hAnsi="Symbol" w:cs="Symbol"/>
      </w:rPr>
    </w:lvl>
    <w:lvl w:ilvl="7">
      <w:start w:val="1"/>
      <w:numFmt w:val="bullet"/>
      <w:lvlText w:val="o"/>
      <w:lvlJc w:val="left"/>
      <w:pPr>
        <w:tabs>
          <w:tab w:val="num" w:pos="5757"/>
        </w:tabs>
        <w:ind w:left="5757" w:hanging="360"/>
      </w:pPr>
      <w:rPr>
        <w:rFonts w:ascii="Courier New" w:hAnsi="Courier New" w:cs="Courier New"/>
      </w:rPr>
    </w:lvl>
    <w:lvl w:ilvl="8">
      <w:start w:val="1"/>
      <w:numFmt w:val="bullet"/>
      <w:lvlText w:val=""/>
      <w:lvlJc w:val="left"/>
      <w:pPr>
        <w:tabs>
          <w:tab w:val="num" w:pos="6477"/>
        </w:tabs>
        <w:ind w:left="6477" w:hanging="360"/>
      </w:pPr>
      <w:rPr>
        <w:rFonts w:ascii="Wingdings" w:hAnsi="Wingdings" w:cs="Wingdings"/>
        <w:sz w:val="22"/>
        <w:szCs w:val="22"/>
      </w:rPr>
    </w:lvl>
  </w:abstractNum>
  <w:abstractNum w:abstractNumId="3" w15:restartNumberingAfterBreak="0">
    <w:nsid w:val="16114C15"/>
    <w:multiLevelType w:val="hybridMultilevel"/>
    <w:tmpl w:val="EE3C18FA"/>
    <w:lvl w:ilvl="0" w:tplc="A7B68446">
      <w:numFmt w:val="bullet"/>
      <w:lvlText w:val=""/>
      <w:lvlJc w:val="righ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9C3546"/>
    <w:multiLevelType w:val="hybridMultilevel"/>
    <w:tmpl w:val="064C014C"/>
    <w:lvl w:ilvl="0" w:tplc="040C0003">
      <w:start w:val="1"/>
      <w:numFmt w:val="bullet"/>
      <w:lvlText w:val=""/>
      <w:lvlJc w:val="left"/>
      <w:pPr>
        <w:tabs>
          <w:tab w:val="num" w:pos="717"/>
        </w:tabs>
        <w:ind w:left="717" w:hanging="360"/>
      </w:pPr>
      <w:rPr>
        <w:rFonts w:ascii="Wingdings" w:hAnsi="Wingdings" w:hint="default"/>
      </w:rPr>
    </w:lvl>
    <w:lvl w:ilvl="1" w:tplc="12DE30B4">
      <w:start w:val="2"/>
      <w:numFmt w:val="bullet"/>
      <w:lvlText w:val="-"/>
      <w:lvlJc w:val="left"/>
      <w:pPr>
        <w:tabs>
          <w:tab w:val="num" w:pos="1437"/>
        </w:tabs>
        <w:ind w:left="1437" w:hanging="360"/>
      </w:pPr>
      <w:rPr>
        <w:rFonts w:ascii="Times New Roman" w:eastAsia="Times New Roman" w:hAnsi="Times New Roman" w:cs="Times New Roman"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27FD4E67"/>
    <w:multiLevelType w:val="hybridMultilevel"/>
    <w:tmpl w:val="201078A0"/>
    <w:lvl w:ilvl="0" w:tplc="49AA582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26658"/>
    <w:multiLevelType w:val="hybridMultilevel"/>
    <w:tmpl w:val="F092C116"/>
    <w:lvl w:ilvl="0" w:tplc="49AA582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4E1246"/>
    <w:multiLevelType w:val="hybridMultilevel"/>
    <w:tmpl w:val="90FEF97E"/>
    <w:lvl w:ilvl="0" w:tplc="976EC21E">
      <w:start w:val="1"/>
      <w:numFmt w:val="bullet"/>
      <w:lvlText w:val=""/>
      <w:lvlJc w:val="left"/>
      <w:pPr>
        <w:tabs>
          <w:tab w:val="num" w:pos="502"/>
        </w:tabs>
        <w:ind w:left="502"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8" w15:restartNumberingAfterBreak="0">
    <w:nsid w:val="35FF275C"/>
    <w:multiLevelType w:val="hybridMultilevel"/>
    <w:tmpl w:val="5FACD140"/>
    <w:lvl w:ilvl="0" w:tplc="759C501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F5073C"/>
    <w:multiLevelType w:val="hybridMultilevel"/>
    <w:tmpl w:val="98D47E60"/>
    <w:lvl w:ilvl="0" w:tplc="B24C84F6">
      <w:numFmt w:val="bullet"/>
      <w:pStyle w:val="ENUMERATION"/>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434F729D"/>
    <w:multiLevelType w:val="hybridMultilevel"/>
    <w:tmpl w:val="62946072"/>
    <w:lvl w:ilvl="0" w:tplc="F7C86296">
      <w:start w:val="1"/>
      <w:numFmt w:val="decimal"/>
      <w:pStyle w:val="Style1"/>
      <w:lvlText w:val="%1"/>
      <w:lvlJc w:val="left"/>
      <w:pPr>
        <w:tabs>
          <w:tab w:val="num" w:pos="737"/>
        </w:tabs>
        <w:ind w:left="737" w:hanging="454"/>
      </w:pPr>
      <w:rPr>
        <w:rFont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1" w15:restartNumberingAfterBreak="0">
    <w:nsid w:val="48176B79"/>
    <w:multiLevelType w:val="hybridMultilevel"/>
    <w:tmpl w:val="B58C4B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977C4C"/>
    <w:multiLevelType w:val="hybridMultilevel"/>
    <w:tmpl w:val="8DAEE202"/>
    <w:lvl w:ilvl="0" w:tplc="F7C862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BB534FB"/>
    <w:multiLevelType w:val="hybridMultilevel"/>
    <w:tmpl w:val="692C2FA0"/>
    <w:lvl w:ilvl="0" w:tplc="759C501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AF1E80"/>
    <w:multiLevelType w:val="hybridMultilevel"/>
    <w:tmpl w:val="7B98D996"/>
    <w:lvl w:ilvl="0" w:tplc="759C501E">
      <w:start w:val="1"/>
      <w:numFmt w:val="bullet"/>
      <w:lvlText w:val="-"/>
      <w:lvlJc w:val="left"/>
      <w:pPr>
        <w:tabs>
          <w:tab w:val="num" w:pos="502"/>
        </w:tabs>
        <w:ind w:left="502" w:hanging="360"/>
      </w:pPr>
      <w:rPr>
        <w:rFonts w:ascii="Calibri" w:eastAsia="Times New Roman" w:hAnsi="Calibri" w:cs="Calibri"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5" w15:restartNumberingAfterBreak="0">
    <w:nsid w:val="59C53371"/>
    <w:multiLevelType w:val="multilevel"/>
    <w:tmpl w:val="9C4CC0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DA50BD"/>
    <w:multiLevelType w:val="hybridMultilevel"/>
    <w:tmpl w:val="4AAE6010"/>
    <w:lvl w:ilvl="0" w:tplc="A7B68446">
      <w:numFmt w:val="bullet"/>
      <w:lvlText w:val=""/>
      <w:lvlJc w:val="right"/>
      <w:pPr>
        <w:ind w:left="1080" w:hanging="360"/>
      </w:pPr>
      <w:rPr>
        <w:rFonts w:ascii="Symbol" w:eastAsia="Calibr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BFC6B57"/>
    <w:multiLevelType w:val="hybridMultilevel"/>
    <w:tmpl w:val="4D80843E"/>
    <w:lvl w:ilvl="0" w:tplc="759C501E">
      <w:start w:val="1"/>
      <w:numFmt w:val="bullet"/>
      <w:lvlText w:val="-"/>
      <w:lvlJc w:val="left"/>
      <w:pPr>
        <w:tabs>
          <w:tab w:val="num" w:pos="786"/>
        </w:tabs>
        <w:ind w:left="786" w:hanging="360"/>
      </w:pPr>
      <w:rPr>
        <w:rFonts w:ascii="Calibri" w:eastAsia="Times New Roman" w:hAnsi="Calibri" w:cs="Calibri"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C61B56B"/>
    <w:multiLevelType w:val="hybridMultilevel"/>
    <w:tmpl w:val="5E849F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9"/>
  </w:num>
  <w:num w:numId="3">
    <w:abstractNumId w:val="4"/>
  </w:num>
  <w:num w:numId="4">
    <w:abstractNumId w:val="12"/>
  </w:num>
  <w:num w:numId="5">
    <w:abstractNumId w:val="3"/>
  </w:num>
  <w:num w:numId="6">
    <w:abstractNumId w:val="16"/>
  </w:num>
  <w:num w:numId="7">
    <w:abstractNumId w:val="10"/>
  </w:num>
  <w:num w:numId="8">
    <w:abstractNumId w:val="5"/>
  </w:num>
  <w:num w:numId="9">
    <w:abstractNumId w:val="6"/>
  </w:num>
  <w:num w:numId="10">
    <w:abstractNumId w:val="9"/>
  </w:num>
  <w:num w:numId="11">
    <w:abstractNumId w:val="11"/>
  </w:num>
  <w:num w:numId="12">
    <w:abstractNumId w:val="13"/>
  </w:num>
  <w:num w:numId="13">
    <w:abstractNumId w:val="17"/>
  </w:num>
  <w:num w:numId="14">
    <w:abstractNumId w:val="14"/>
  </w:num>
  <w:num w:numId="15">
    <w:abstractNumId w:val="8"/>
  </w:num>
  <w:num w:numId="16">
    <w:abstractNumId w:val="0"/>
  </w:num>
  <w:num w:numId="17">
    <w:abstractNumId w:val="1"/>
  </w:num>
  <w:num w:numId="18">
    <w:abstractNumId w:val="15"/>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6B"/>
    <w:rsid w:val="00064D6B"/>
    <w:rsid w:val="0013217A"/>
    <w:rsid w:val="001E10C1"/>
    <w:rsid w:val="001E2225"/>
    <w:rsid w:val="001E4F9E"/>
    <w:rsid w:val="001F39F8"/>
    <w:rsid w:val="00215389"/>
    <w:rsid w:val="00224290"/>
    <w:rsid w:val="002657D8"/>
    <w:rsid w:val="003756D7"/>
    <w:rsid w:val="003F78B5"/>
    <w:rsid w:val="0045617E"/>
    <w:rsid w:val="00457D1C"/>
    <w:rsid w:val="00581EEF"/>
    <w:rsid w:val="005C4263"/>
    <w:rsid w:val="006B0BFF"/>
    <w:rsid w:val="00717B36"/>
    <w:rsid w:val="00731C2E"/>
    <w:rsid w:val="00761EF5"/>
    <w:rsid w:val="00847838"/>
    <w:rsid w:val="00883BEF"/>
    <w:rsid w:val="00883CAF"/>
    <w:rsid w:val="008F1E78"/>
    <w:rsid w:val="008F2EED"/>
    <w:rsid w:val="009231C7"/>
    <w:rsid w:val="00A821FE"/>
    <w:rsid w:val="00AB497E"/>
    <w:rsid w:val="00BF6C2D"/>
    <w:rsid w:val="00CF4AE8"/>
    <w:rsid w:val="00D76038"/>
    <w:rsid w:val="00EF2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CF463-F33A-4256-BB72-16D880E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38"/>
    <w:pPr>
      <w:spacing w:after="120" w:line="240" w:lineRule="auto"/>
      <w:jc w:val="both"/>
    </w:pPr>
    <w:rPr>
      <w:rFonts w:ascii="Calibri" w:eastAsia="Times New Roman" w:hAnsi="Calibri" w:cs="Times New Roman"/>
    </w:rPr>
  </w:style>
  <w:style w:type="paragraph" w:styleId="Titre1">
    <w:name w:val="heading 1"/>
    <w:basedOn w:val="Normal"/>
    <w:next w:val="Normal"/>
    <w:link w:val="Titre1Car"/>
    <w:qFormat/>
    <w:rsid w:val="00847838"/>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847838"/>
    <w:pPr>
      <w:shd w:val="clear" w:color="auto" w:fill="D6E3BC" w:themeFill="accent3" w:themeFillTint="66"/>
      <w:ind w:left="1134" w:hanging="1134"/>
      <w:jc w:val="both"/>
      <w:outlineLvl w:val="1"/>
    </w:pPr>
    <w:rPr>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838"/>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847838"/>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847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847838"/>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847838"/>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D76038"/>
    <w:pPr>
      <w:tabs>
        <w:tab w:val="center" w:pos="4536"/>
        <w:tab w:val="right" w:pos="9072"/>
      </w:tabs>
      <w:spacing w:before="120"/>
    </w:pPr>
    <w:rPr>
      <w:szCs w:val="24"/>
      <w:lang w:eastAsia="fr-FR"/>
    </w:rPr>
  </w:style>
  <w:style w:type="character" w:customStyle="1" w:styleId="En-tteCar">
    <w:name w:val="En-tête Car"/>
    <w:basedOn w:val="Policepardfaut"/>
    <w:link w:val="En-tte"/>
    <w:uiPriority w:val="99"/>
    <w:rsid w:val="00D76038"/>
    <w:rPr>
      <w:rFonts w:ascii="Calibri" w:eastAsia="Times New Roman" w:hAnsi="Calibri" w:cs="Times New Roman"/>
      <w:szCs w:val="24"/>
      <w:lang w:eastAsia="fr-FR"/>
    </w:rPr>
  </w:style>
  <w:style w:type="character" w:customStyle="1" w:styleId="ENUMERATIONCar">
    <w:name w:val="ENUMERATION Car"/>
    <w:link w:val="ENUMERATION"/>
    <w:locked/>
    <w:rsid w:val="00D76038"/>
    <w:rPr>
      <w:rFonts w:ascii="Calibri" w:hAnsi="Calibri" w:cs="Arial"/>
      <w:szCs w:val="24"/>
      <w:lang w:val="x-none" w:eastAsia="x-none"/>
    </w:rPr>
  </w:style>
  <w:style w:type="paragraph" w:customStyle="1" w:styleId="ENUMERATION">
    <w:name w:val="ENUMERATION"/>
    <w:basedOn w:val="Normal"/>
    <w:link w:val="ENUMERATIONCar"/>
    <w:qFormat/>
    <w:rsid w:val="00D76038"/>
    <w:pPr>
      <w:numPr>
        <w:numId w:val="2"/>
      </w:numPr>
      <w:spacing w:after="0"/>
    </w:pPr>
    <w:rPr>
      <w:rFonts w:eastAsiaTheme="minorHAnsi" w:cs="Arial"/>
      <w:szCs w:val="24"/>
      <w:lang w:val="x-none" w:eastAsia="x-none"/>
    </w:rPr>
  </w:style>
  <w:style w:type="paragraph" w:customStyle="1" w:styleId="Texte">
    <w:name w:val="Texte"/>
    <w:basedOn w:val="Normal"/>
    <w:rsid w:val="00D76038"/>
    <w:pPr>
      <w:ind w:firstLine="1134"/>
    </w:pPr>
    <w:rPr>
      <w:rFonts w:ascii="Times New Roman" w:hAnsi="Times New Roman"/>
      <w:sz w:val="24"/>
      <w:szCs w:val="20"/>
      <w:lang w:eastAsia="fr-FR"/>
    </w:rPr>
  </w:style>
  <w:style w:type="paragraph" w:customStyle="1" w:styleId="Default">
    <w:name w:val="Default"/>
    <w:rsid w:val="003F78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1">
    <w:name w:val="Style1"/>
    <w:basedOn w:val="Normal"/>
    <w:link w:val="Style1Car"/>
    <w:qFormat/>
    <w:rsid w:val="001F39F8"/>
    <w:pPr>
      <w:numPr>
        <w:numId w:val="7"/>
      </w:numPr>
    </w:pPr>
    <w:rPr>
      <w:rFonts w:cs="Arial"/>
      <w:lang w:eastAsia="fr-FR"/>
    </w:rPr>
  </w:style>
  <w:style w:type="character" w:customStyle="1" w:styleId="Style1Car">
    <w:name w:val="Style1 Car"/>
    <w:link w:val="Style1"/>
    <w:rsid w:val="001F39F8"/>
    <w:rPr>
      <w:rFonts w:ascii="Calibri" w:eastAsia="Times New Roman" w:hAnsi="Calibri" w:cs="Arial"/>
      <w:lang w:eastAsia="fr-FR"/>
    </w:rPr>
  </w:style>
  <w:style w:type="paragraph" w:styleId="Paragraphedeliste">
    <w:name w:val="List Paragraph"/>
    <w:basedOn w:val="Normal"/>
    <w:uiPriority w:val="34"/>
    <w:qFormat/>
    <w:rsid w:val="0092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4013</TotalTime>
  <Pages>8</Pages>
  <Words>1646</Words>
  <Characters>9057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12</cp:revision>
  <dcterms:created xsi:type="dcterms:W3CDTF">2025-03-05T16:38:00Z</dcterms:created>
  <dcterms:modified xsi:type="dcterms:W3CDTF">2025-09-23T12:42:00Z</dcterms:modified>
</cp:coreProperties>
</file>